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外国语学院2026年推荐优秀应届本科毕业生免试攻读研究生推荐工作方案-外国语学院</w:t>
      </w:r>
    </w:p>
    <w:p>
      <w:pPr>
        <w:spacing w:after="80" w:lineRule="auto" w:line="360"/>
        <w:ind w:firstLine="482"/>
        <w:jc w:val="both"/>
      </w:pPr>
      <w:r>
        <w:rPr>
          <w:rFonts w:ascii="Times New Roman" w:hAnsi="Times New Roman" w:eastAsia="宋体"/>
          <w:b w:val="0"/>
          <w:sz w:val="24"/>
        </w:rPr>
        <w:t>根据教育部和学校推荐优秀应届本科毕业生免试攻读研究生的文件精神，为规范做好我院推荐2026届本科毕业生免试攻读研究生推荐工作（以下简称“推免”），结合学院实际，特制定本方案。</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一、推荐遴选对象及指标</w:t>
      </w:r>
    </w:p>
    <w:p>
      <w:pPr>
        <w:spacing w:after="80" w:lineRule="auto" w:line="360"/>
        <w:ind w:firstLine="482"/>
        <w:jc w:val="both"/>
      </w:pPr>
      <w:r>
        <w:rPr>
          <w:rFonts w:ascii="Times New Roman" w:hAnsi="Times New Roman" w:eastAsia="宋体"/>
          <w:b w:val="0"/>
          <w:sz w:val="24"/>
        </w:rPr>
        <w:t>推荐遴选对象为本院2026届本科毕业生，全院推免生遴选总指标为22名，其中英语专业13名、商务英语专业9名。毕业班学风建设免试推荐攻读研究生班级、研究生支教团等推免生专项计划另行安排。</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学院成立研究生推免工作领导小组，负责制定推免工作具体方案，组织并监督推免工作开展。</w:t>
      </w:r>
    </w:p>
    <w:p>
      <w:pPr>
        <w:spacing w:after="80" w:lineRule="auto" w:line="360"/>
        <w:ind w:firstLine="482"/>
        <w:jc w:val="both"/>
      </w:pPr>
      <w:r>
        <w:rPr>
          <w:rFonts w:ascii="Times New Roman" w:hAnsi="Times New Roman" w:eastAsia="宋体"/>
          <w:b w:val="0"/>
          <w:sz w:val="24"/>
        </w:rPr>
        <w:t>组长：冯国林</w:t>
      </w:r>
    </w:p>
    <w:p>
      <w:pPr>
        <w:spacing w:after="80" w:lineRule="auto" w:line="360"/>
        <w:ind w:firstLine="482"/>
        <w:jc w:val="both"/>
      </w:pPr>
      <w:r>
        <w:rPr>
          <w:rFonts w:ascii="Times New Roman" w:hAnsi="Times New Roman" w:eastAsia="宋体"/>
          <w:b w:val="0"/>
          <w:sz w:val="24"/>
        </w:rPr>
        <w:t>成员：任丹、秦发兰、方红、陈啸、满秭岐、郭强</w:t>
      </w:r>
    </w:p>
    <w:p>
      <w:pPr>
        <w:spacing w:after="80" w:lineRule="auto" w:line="360"/>
        <w:ind w:firstLine="482"/>
        <w:jc w:val="both"/>
      </w:pPr>
      <w:r>
        <w:rPr>
          <w:rFonts w:ascii="Times New Roman" w:hAnsi="Times New Roman" w:eastAsia="宋体"/>
          <w:b w:val="0"/>
          <w:sz w:val="24"/>
        </w:rPr>
        <w:t>2. 学院成立推免工作专家审核小组，具体执行推免工作方案，对学生的科研创新成果、论文、竞赛奖项等材料进行审核鉴定。</w:t>
      </w:r>
    </w:p>
    <w:p>
      <w:pPr>
        <w:spacing w:after="80" w:lineRule="auto" w:line="360"/>
        <w:ind w:firstLine="482"/>
        <w:jc w:val="both"/>
      </w:pPr>
      <w:r>
        <w:rPr>
          <w:rFonts w:ascii="Times New Roman" w:hAnsi="Times New Roman" w:eastAsia="宋体"/>
          <w:b w:val="0"/>
          <w:sz w:val="24"/>
        </w:rPr>
        <w:t>组长：耿云冬</w:t>
      </w:r>
    </w:p>
    <w:p>
      <w:pPr>
        <w:spacing w:after="80" w:lineRule="auto" w:line="360"/>
        <w:ind w:firstLine="482"/>
        <w:jc w:val="both"/>
      </w:pPr>
      <w:r>
        <w:rPr>
          <w:rFonts w:ascii="Times New Roman" w:hAnsi="Times New Roman" w:eastAsia="宋体"/>
          <w:b w:val="0"/>
          <w:sz w:val="24"/>
        </w:rPr>
        <w:t>成员：姚孝军、张瑞嵘、刘萍、朱茜、李敏锐、陈婧</w:t>
      </w:r>
    </w:p>
    <w:p>
      <w:pPr>
        <w:spacing w:after="80" w:lineRule="auto" w:line="360"/>
        <w:ind w:firstLine="482"/>
        <w:jc w:val="both"/>
      </w:pPr>
      <w:r>
        <w:rPr>
          <w:rFonts w:ascii="Times New Roman" w:hAnsi="Times New Roman" w:eastAsia="宋体"/>
          <w:b w:val="0"/>
          <w:sz w:val="24"/>
        </w:rPr>
        <w:t>秘书：陈啸、满秭岐</w:t>
      </w:r>
    </w:p>
    <w:p>
      <w:pPr>
        <w:spacing w:before="160" w:after="80" w:lineRule="auto" w:line="360"/>
        <w:jc w:val="left"/>
      </w:pPr>
      <w:r>
        <w:rPr>
          <w:rFonts w:ascii="Times New Roman" w:hAnsi="Times New Roman" w:eastAsia="宋体"/>
          <w:b/>
          <w:sz w:val="28"/>
        </w:rPr>
        <w:t>三、推荐遴选条件</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 坚持中国共产党的领导，具有高尚的爱国主义情操和集体主义精神，理想信念坚定，社会责任感强，积极向上，身心健康；</w:t>
      </w:r>
    </w:p>
    <w:p>
      <w:pPr>
        <w:spacing w:after="80" w:lineRule="auto" w:line="360"/>
        <w:ind w:firstLine="482"/>
        <w:jc w:val="both"/>
      </w:pPr>
      <w:r>
        <w:rPr>
          <w:rFonts w:ascii="Times New Roman" w:hAnsi="Times New Roman" w:eastAsia="宋体"/>
          <w:b w:val="0"/>
          <w:sz w:val="24"/>
        </w:rPr>
        <w:t>2. 遵纪守法，品行优良，无任何违法违纪受处分记录；</w:t>
      </w:r>
    </w:p>
    <w:p>
      <w:pPr>
        <w:spacing w:after="80" w:lineRule="auto" w:line="360"/>
        <w:ind w:firstLine="482"/>
        <w:jc w:val="both"/>
      </w:pPr>
      <w:r>
        <w:rPr>
          <w:rFonts w:ascii="Times New Roman" w:hAnsi="Times New Roman" w:eastAsia="宋体"/>
          <w:b w:val="0"/>
          <w:sz w:val="24"/>
        </w:rPr>
        <w:t>3. 诚实守信，学风端正，无考试作弊和剽窃他人学术成果记录；</w:t>
      </w:r>
    </w:p>
    <w:p>
      <w:pPr>
        <w:spacing w:after="80" w:lineRule="auto" w:line="360"/>
        <w:ind w:firstLine="482"/>
        <w:jc w:val="both"/>
      </w:pPr>
      <w:r>
        <w:rPr>
          <w:rFonts w:ascii="Times New Roman" w:hAnsi="Times New Roman" w:eastAsia="宋体"/>
          <w:b w:val="0"/>
          <w:sz w:val="24"/>
        </w:rPr>
        <w:t>4. 通过全国高校英语专业四级考试，大学期间所修课程平均学分绩点（GPA）专业排名原则上在前40%（含）；转专业学生原学院能够抵扣学分的课程纳入GPA计算，其他课程不计，GPA达到本院排名前40%（含）后，按照本专业成绩重新计算进行排名。</w:t>
      </w:r>
    </w:p>
    <w:p>
      <w:pPr>
        <w:spacing w:after="80" w:lineRule="auto" w:line="360"/>
        <w:ind w:firstLine="482"/>
        <w:jc w:val="both"/>
      </w:pPr>
      <w:r>
        <w:rPr>
          <w:rFonts w:ascii="Times New Roman" w:hAnsi="Times New Roman" w:eastAsia="宋体"/>
          <w:b w:val="0"/>
          <w:sz w:val="24"/>
        </w:rPr>
        <w:t>（二）优先条件</w:t>
      </w:r>
    </w:p>
    <w:p>
      <w:pPr>
        <w:spacing w:after="80" w:lineRule="auto" w:line="360"/>
        <w:ind w:firstLine="482"/>
        <w:jc w:val="both"/>
      </w:pPr>
      <w:r>
        <w:rPr>
          <w:rFonts w:ascii="Times New Roman" w:hAnsi="Times New Roman" w:eastAsia="宋体"/>
          <w:b w:val="0"/>
          <w:sz w:val="24"/>
        </w:rPr>
        <w:t>1. 大学期间有参军入伍或3个月以上的国际组织实习经历，在同等条件下优先推荐；</w:t>
      </w:r>
    </w:p>
    <w:p>
      <w:pPr>
        <w:spacing w:after="80" w:lineRule="auto" w:line="360"/>
        <w:ind w:firstLine="482"/>
        <w:jc w:val="both"/>
      </w:pPr>
      <w:r>
        <w:rPr>
          <w:rFonts w:ascii="Times New Roman" w:hAnsi="Times New Roman" w:eastAsia="宋体"/>
          <w:b w:val="0"/>
          <w:sz w:val="24"/>
        </w:rPr>
        <w:t>2. 大学期间荣获学院认定的与专业学科相关的教育部A、B类赛事金奖或一等奖等赛事最高奖项级别及以上，若为团队参赛，则需为负责人，在同等条件下优先推荐（A/B 类见竞赛名单标注）；</w:t>
      </w:r>
    </w:p>
    <w:p>
      <w:pPr>
        <w:spacing w:after="80" w:lineRule="auto" w:line="360"/>
        <w:ind w:firstLine="482"/>
        <w:jc w:val="both"/>
      </w:pPr>
      <w:r>
        <w:rPr>
          <w:rFonts w:ascii="Times New Roman" w:hAnsi="Times New Roman" w:eastAsia="宋体"/>
          <w:b w:val="0"/>
          <w:sz w:val="24"/>
        </w:rPr>
        <w:t>3. 大学期间荣获“校大学生标兵”“校十佳大学生”及以上荣誉称号、参加志愿服务获得省级及以上奖励、连续三年被评为“校优秀团员”“校三好学生”“优秀学生干部”“优秀共青团干部”等，在同等条件下优先推荐。</w:t>
      </w:r>
    </w:p>
    <w:p>
      <w:pPr>
        <w:spacing w:before="160" w:after="80" w:lineRule="auto" w:line="360"/>
        <w:jc w:val="left"/>
      </w:pPr>
      <w:r>
        <w:rPr>
          <w:rFonts w:ascii="Times New Roman" w:hAnsi="Times New Roman" w:eastAsia="宋体"/>
          <w:b/>
          <w:sz w:val="28"/>
        </w:rPr>
        <w:t>四、推荐遴选办法</w:t>
      </w:r>
    </w:p>
    <w:p>
      <w:pPr>
        <w:spacing w:after="80" w:lineRule="auto" w:line="360"/>
        <w:ind w:firstLine="482"/>
        <w:jc w:val="both"/>
      </w:pPr>
      <w:r>
        <w:rPr>
          <w:rFonts w:ascii="Times New Roman" w:hAnsi="Times New Roman" w:eastAsia="宋体"/>
          <w:b w:val="0"/>
          <w:sz w:val="24"/>
        </w:rPr>
        <w:t>综合考核成绩总分（100分）=平均学分绩点（GPA）折算分（80分）+科研能力评分（15分）+创新创业能力评分（5分）</w:t>
      </w:r>
    </w:p>
    <w:p>
      <w:pPr>
        <w:spacing w:after="80" w:lineRule="auto" w:line="360"/>
        <w:ind w:firstLine="482"/>
        <w:jc w:val="both"/>
      </w:pPr>
      <w:r>
        <w:rPr>
          <w:rFonts w:ascii="Times New Roman" w:hAnsi="Times New Roman" w:eastAsia="宋体"/>
          <w:b w:val="0"/>
          <w:sz w:val="24"/>
        </w:rPr>
        <w:t>（一）平均学分绩点折算分 80分</w:t>
      </w:r>
    </w:p>
    <w:p>
      <w:pPr>
        <w:spacing w:after="80" w:lineRule="auto" w:line="360"/>
        <w:ind w:firstLine="482"/>
        <w:jc w:val="both"/>
      </w:pPr>
      <w:r>
        <w:rPr>
          <w:rFonts w:ascii="Times New Roman" w:hAnsi="Times New Roman" w:eastAsia="宋体"/>
          <w:b w:val="0"/>
          <w:sz w:val="24"/>
        </w:rPr>
        <w:t>平均学分绩点（GPA）折算分 = GPA/4*100*80%，保留小数点后2位。</w:t>
      </w:r>
    </w:p>
    <w:p>
      <w:pPr>
        <w:spacing w:after="80" w:lineRule="auto" w:line="360"/>
        <w:ind w:firstLine="482"/>
        <w:jc w:val="both"/>
      </w:pPr>
      <w:r>
        <w:rPr>
          <w:rFonts w:ascii="Times New Roman" w:hAnsi="Times New Roman" w:eastAsia="宋体"/>
          <w:b w:val="0"/>
          <w:sz w:val="24"/>
        </w:rPr>
        <w:t>（二）科研能力评分 15分</w:t>
      </w:r>
    </w:p>
    <w:p>
      <w:pPr>
        <w:spacing w:after="80" w:lineRule="auto" w:line="360"/>
        <w:ind w:firstLine="482"/>
        <w:jc w:val="both"/>
      </w:pPr>
      <w:r>
        <w:rPr>
          <w:rFonts w:ascii="Times New Roman" w:hAnsi="Times New Roman" w:eastAsia="宋体"/>
          <w:b w:val="0"/>
          <w:sz w:val="24"/>
        </w:rPr>
        <w:t>1. 科研项目 5分</w:t>
      </w:r>
    </w:p>
    <w:p>
      <w:pPr>
        <w:spacing w:after="80" w:lineRule="auto" w:line="360"/>
        <w:ind w:firstLine="482"/>
        <w:jc w:val="both"/>
      </w:pPr>
      <w:r>
        <w:rPr>
          <w:rFonts w:ascii="Times New Roman" w:hAnsi="Times New Roman" w:eastAsia="宋体"/>
          <w:b w:val="0"/>
          <w:sz w:val="24"/>
        </w:rPr>
        <w:t>学生在本科阶段参与SRF项目，获国家级立项，2分/项；获国家级立项并结题优秀，3分/项。若是团队申报，对排名前3的主力成员进行加分，按0.5/0.3/0.2的系数进行赋分。累计分数不超过5分。</w:t>
      </w:r>
    </w:p>
    <w:p>
      <w:pPr>
        <w:spacing w:after="80" w:lineRule="auto" w:line="360"/>
        <w:ind w:firstLine="482"/>
        <w:jc w:val="both"/>
      </w:pPr>
      <w:r>
        <w:rPr>
          <w:rFonts w:ascii="Times New Roman" w:hAnsi="Times New Roman" w:eastAsia="宋体"/>
          <w:b w:val="0"/>
          <w:sz w:val="24"/>
        </w:rPr>
        <w:t>2. 学术论文 5分</w:t>
      </w:r>
    </w:p>
    <w:p>
      <w:pPr>
        <w:spacing w:after="80" w:lineRule="auto" w:line="360"/>
        <w:ind w:firstLine="482"/>
        <w:jc w:val="both"/>
      </w:pPr>
      <w:r>
        <w:rPr>
          <w:rFonts w:ascii="Times New Roman" w:hAnsi="Times New Roman" w:eastAsia="宋体"/>
          <w:b w:val="0"/>
          <w:sz w:val="24"/>
        </w:rPr>
        <w:t>学生本科阶段在核心期刊及以上刊物，以独立作者或第一作者身份发表的与学业相关学术论文，第一署名单位为华中农业大学，且报名截止前见刊或具有DOI号或具有完整网络版。学生与直系亲属或学历、职称、职务明显高于本人者合作的科研成果仅作为参考，不纳入学生本人推免遴选综合评价成绩计算体系。</w:t>
      </w:r>
    </w:p>
    <w:p>
      <w:pPr>
        <w:spacing w:after="80" w:lineRule="auto" w:line="360"/>
        <w:ind w:firstLine="482"/>
        <w:jc w:val="both"/>
      </w:pPr>
      <w:r>
        <w:rPr>
          <w:rFonts w:ascii="Times New Roman" w:hAnsi="Times New Roman" w:eastAsia="宋体"/>
          <w:b w:val="0"/>
          <w:sz w:val="24"/>
        </w:rPr>
        <w:t>学术论文得分由专家审核组根据科研成果层次及水平进行评分，总分不超过5分。</w:t>
      </w:r>
    </w:p>
    <w:p>
      <w:pPr>
        <w:spacing w:after="80" w:lineRule="auto" w:line="360"/>
        <w:ind w:firstLine="482"/>
        <w:jc w:val="both"/>
      </w:pPr>
      <w:r>
        <w:rPr>
          <w:rFonts w:ascii="Times New Roman" w:hAnsi="Times New Roman" w:eastAsia="宋体"/>
          <w:b w:val="0"/>
          <w:sz w:val="24"/>
        </w:rPr>
        <w:t>3. 学科竞赛 5分</w:t>
      </w:r>
    </w:p>
    <w:p>
      <w:pPr>
        <w:spacing w:after="80" w:lineRule="auto" w:line="360"/>
        <w:ind w:firstLine="482"/>
        <w:jc w:val="both"/>
      </w:pPr>
      <w:r>
        <w:rPr>
          <w:rFonts w:ascii="Times New Roman" w:hAnsi="Times New Roman" w:eastAsia="宋体"/>
          <w:b w:val="0"/>
          <w:sz w:val="24"/>
        </w:rPr>
        <w:t>竞赛项目以附件1《华中农业大学外国语学院大学生专业类赛事名单》（下简称为“赛事名单”）为准，名单以外的赛事活动不予以认定。学生与直系亲属或学历、职称、职务明显高于本人者合作的竞赛奖项仅作为参考，不纳入学生本人推免遴选综合评价成绩计算体系。</w:t>
      </w:r>
    </w:p>
    <w:p>
      <w:pPr>
        <w:spacing w:after="80" w:lineRule="auto" w:line="360"/>
        <w:ind w:firstLine="482"/>
        <w:jc w:val="both"/>
      </w:pPr>
      <w:r>
        <w:rPr>
          <w:rFonts w:ascii="Times New Roman" w:hAnsi="Times New Roman" w:eastAsia="宋体"/>
          <w:b w:val="0"/>
          <w:sz w:val="24"/>
        </w:rPr>
        <w:t>个人或团队需获得赛事名单中省级及以上荣誉方纳入计分范围。团队竞赛获奖，对排名前3的主力成员进行加分，按团队赛事级别和名次对应总分的0.5/0.3/0.2的系数赋分。赛事名单中的第三类和其他类比赛，加分减半，同一项比赛以所有年度最高奖项或最高分计算。</w:t>
      </w:r>
    </w:p>
    <w:p>
      <w:pPr>
        <w:spacing w:after="80" w:lineRule="auto" w:line="360"/>
        <w:ind w:firstLine="482"/>
        <w:jc w:val="both"/>
      </w:pPr>
      <w:r>
        <w:rPr>
          <w:rFonts w:ascii="Times New Roman" w:hAnsi="Times New Roman" w:eastAsia="宋体"/>
          <w:b w:val="0"/>
          <w:sz w:val="24"/>
        </w:rPr>
        <w:t>评分依据比赛级别和获奖名次计分；比赛若设一、二、三等奖和优秀奖，奖励分对应分值为：一等奖对应第1名的分值，二等奖对应第2、3名的平均分值，三等奖对应第4、5、6名的平均分值，优秀奖对应第7、8名的平均分值；比赛若只设优秀奖，优秀奖奖励分的对应分值为1-8名的平均分值。若比赛奖项设置有“特等奖”，则“特等奖”相当于“一等奖”，一等奖相当于“二等奖”，依次类推。详见下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名次评分级别</w:t>
            </w:r>
          </w:p>
        </w:tc>
        <w:tc>
          <w:tcPr>
            <w:tcW w:type="dxa" w:w="959"/>
          </w:tcPr>
          <w:p>
            <w:pPr>
              <w:spacing w:after="20" w:before="20"/>
            </w:pPr>
            <w:r/>
            <w:r>
              <w:rPr>
                <w:rFonts w:ascii="Times New Roman" w:hAnsi="Times New Roman" w:eastAsia="宋体"/>
                <w:b/>
                <w:sz w:val="21"/>
              </w:rPr>
              <w:t>1</w:t>
            </w:r>
          </w:p>
        </w:tc>
        <w:tc>
          <w:tcPr>
            <w:tcW w:type="dxa" w:w="959"/>
          </w:tcPr>
          <w:p>
            <w:pPr>
              <w:spacing w:after="20" w:before="20"/>
            </w:pPr>
            <w:r/>
            <w:r>
              <w:rPr>
                <w:rFonts w:ascii="Times New Roman" w:hAnsi="Times New Roman" w:eastAsia="宋体"/>
                <w:b/>
                <w:sz w:val="21"/>
              </w:rPr>
              <w:t>2</w:t>
            </w:r>
          </w:p>
        </w:tc>
        <w:tc>
          <w:tcPr>
            <w:tcW w:type="dxa" w:w="959"/>
          </w:tcPr>
          <w:p>
            <w:pPr>
              <w:spacing w:after="20" w:before="20"/>
            </w:pPr>
            <w:r/>
            <w:r>
              <w:rPr>
                <w:rFonts w:ascii="Times New Roman" w:hAnsi="Times New Roman" w:eastAsia="宋体"/>
                <w:b/>
                <w:sz w:val="21"/>
              </w:rPr>
              <w:t>3</w:t>
            </w:r>
          </w:p>
        </w:tc>
        <w:tc>
          <w:tcPr>
            <w:tcW w:type="dxa" w:w="959"/>
          </w:tcPr>
          <w:p>
            <w:pPr>
              <w:spacing w:after="20" w:before="20"/>
            </w:pPr>
            <w:r/>
            <w:r>
              <w:rPr>
                <w:rFonts w:ascii="Times New Roman" w:hAnsi="Times New Roman" w:eastAsia="宋体"/>
                <w:b/>
                <w:sz w:val="21"/>
              </w:rPr>
              <w:t>4</w:t>
            </w:r>
          </w:p>
        </w:tc>
        <w:tc>
          <w:tcPr>
            <w:tcW w:type="dxa" w:w="959"/>
          </w:tcPr>
          <w:p>
            <w:pPr>
              <w:spacing w:after="20" w:before="20"/>
            </w:pPr>
            <w:r/>
            <w:r>
              <w:rPr>
                <w:rFonts w:ascii="Times New Roman" w:hAnsi="Times New Roman" w:eastAsia="宋体"/>
                <w:b/>
                <w:sz w:val="21"/>
              </w:rPr>
              <w:t>5</w:t>
            </w:r>
          </w:p>
        </w:tc>
        <w:tc>
          <w:tcPr>
            <w:tcW w:type="dxa" w:w="959"/>
          </w:tcPr>
          <w:p>
            <w:pPr>
              <w:spacing w:after="20" w:before="20"/>
            </w:pPr>
            <w:r/>
            <w:r>
              <w:rPr>
                <w:rFonts w:ascii="Times New Roman" w:hAnsi="Times New Roman" w:eastAsia="宋体"/>
                <w:b/>
                <w:sz w:val="21"/>
              </w:rPr>
              <w:t>6</w:t>
            </w:r>
          </w:p>
        </w:tc>
        <w:tc>
          <w:tcPr>
            <w:tcW w:type="dxa" w:w="959"/>
          </w:tcPr>
          <w:p>
            <w:pPr>
              <w:spacing w:after="20" w:before="20"/>
            </w:pPr>
            <w:r/>
            <w:r>
              <w:rPr>
                <w:rFonts w:ascii="Times New Roman" w:hAnsi="Times New Roman" w:eastAsia="宋体"/>
                <w:b/>
                <w:sz w:val="21"/>
              </w:rPr>
              <w:t>7</w:t>
            </w:r>
          </w:p>
        </w:tc>
        <w:tc>
          <w:tcPr>
            <w:tcW w:type="dxa" w:w="959"/>
          </w:tcPr>
          <w:p>
            <w:pPr>
              <w:spacing w:after="20" w:before="20"/>
            </w:pPr>
            <w:r/>
            <w:r>
              <w:rPr>
                <w:rFonts w:ascii="Times New Roman" w:hAnsi="Times New Roman" w:eastAsia="宋体"/>
                <w:b/>
                <w:sz w:val="21"/>
              </w:rPr>
              <w:t>8</w:t>
            </w:r>
          </w:p>
        </w:tc>
      </w:tr>
      <w:tr>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3.0</w:t>
            </w:r>
          </w:p>
        </w:tc>
        <w:tc>
          <w:tcPr>
            <w:tcW w:type="dxa" w:w="959"/>
          </w:tcPr>
          <w:p>
            <w:pPr>
              <w:spacing w:after="20" w:before="20"/>
            </w:pPr>
            <w:r/>
            <w:r>
              <w:rPr>
                <w:rFonts w:ascii="Times New Roman" w:hAnsi="Times New Roman" w:eastAsia="宋体"/>
                <w:b w:val="0"/>
                <w:sz w:val="21"/>
              </w:rPr>
              <w:t>2.6</w:t>
            </w:r>
          </w:p>
        </w:tc>
        <w:tc>
          <w:tcPr>
            <w:tcW w:type="dxa" w:w="959"/>
          </w:tcPr>
          <w:p>
            <w:pPr>
              <w:spacing w:after="20" w:before="20"/>
            </w:pPr>
            <w:r/>
            <w:r>
              <w:rPr>
                <w:rFonts w:ascii="Times New Roman" w:hAnsi="Times New Roman" w:eastAsia="宋体"/>
                <w:b w:val="0"/>
                <w:sz w:val="21"/>
              </w:rPr>
              <w:t>2.4</w:t>
            </w:r>
          </w:p>
        </w:tc>
        <w:tc>
          <w:tcPr>
            <w:tcW w:type="dxa" w:w="959"/>
          </w:tcPr>
          <w:p>
            <w:pPr>
              <w:spacing w:after="20" w:before="20"/>
            </w:pPr>
            <w:r/>
            <w:r>
              <w:rPr>
                <w:rFonts w:ascii="Times New Roman" w:hAnsi="Times New Roman" w:eastAsia="宋体"/>
                <w:b w:val="0"/>
                <w:sz w:val="21"/>
              </w:rPr>
              <w:t>2.2</w:t>
            </w:r>
          </w:p>
        </w:tc>
        <w:tc>
          <w:tcPr>
            <w:tcW w:type="dxa" w:w="959"/>
          </w:tcPr>
          <w:p>
            <w:pPr>
              <w:spacing w:after="20" w:before="20"/>
            </w:pPr>
            <w:r/>
            <w:r>
              <w:rPr>
                <w:rFonts w:ascii="Times New Roman" w:hAnsi="Times New Roman" w:eastAsia="宋体"/>
                <w:b w:val="0"/>
                <w:sz w:val="21"/>
              </w:rPr>
              <w:t>2.0</w:t>
            </w:r>
          </w:p>
        </w:tc>
        <w:tc>
          <w:tcPr>
            <w:tcW w:type="dxa" w:w="959"/>
          </w:tcPr>
          <w:p>
            <w:pPr>
              <w:spacing w:after="20" w:before="20"/>
            </w:pPr>
            <w:r/>
            <w:r>
              <w:rPr>
                <w:rFonts w:ascii="Times New Roman" w:hAnsi="Times New Roman" w:eastAsia="宋体"/>
                <w:b w:val="0"/>
                <w:sz w:val="21"/>
              </w:rPr>
              <w:t>1.8</w:t>
            </w:r>
          </w:p>
        </w:tc>
        <w:tc>
          <w:tcPr>
            <w:tcW w:type="dxa" w:w="959"/>
          </w:tcPr>
          <w:p>
            <w:pPr>
              <w:spacing w:after="20" w:before="20"/>
            </w:pPr>
            <w:r/>
            <w:r>
              <w:rPr>
                <w:rFonts w:ascii="Times New Roman" w:hAnsi="Times New Roman" w:eastAsia="宋体"/>
                <w:b w:val="0"/>
                <w:sz w:val="21"/>
              </w:rPr>
              <w:t>1.6</w:t>
            </w:r>
          </w:p>
        </w:tc>
        <w:tc>
          <w:tcPr>
            <w:tcW w:type="dxa" w:w="959"/>
          </w:tcPr>
          <w:p>
            <w:pPr>
              <w:spacing w:after="20" w:before="20"/>
            </w:pPr>
            <w:r/>
            <w:r>
              <w:rPr>
                <w:rFonts w:ascii="Times New Roman" w:hAnsi="Times New Roman" w:eastAsia="宋体"/>
                <w:b w:val="0"/>
                <w:sz w:val="21"/>
              </w:rPr>
              <w:t>1.4</w:t>
            </w:r>
          </w:p>
        </w:tc>
      </w:tr>
      <w:tr>
        <w:tc>
          <w:tcPr>
            <w:tcW w:type="dxa" w:w="959"/>
          </w:tcPr>
          <w:p>
            <w:pPr>
              <w:spacing w:after="20" w:before="20"/>
            </w:pPr>
            <w:r/>
            <w:r>
              <w:rPr>
                <w:rFonts w:ascii="Times New Roman" w:hAnsi="Times New Roman" w:eastAsia="宋体"/>
                <w:b w:val="0"/>
                <w:sz w:val="21"/>
              </w:rPr>
              <w:t>部、省级</w:t>
            </w:r>
          </w:p>
        </w:tc>
        <w:tc>
          <w:tcPr>
            <w:tcW w:type="dxa" w:w="959"/>
          </w:tcPr>
          <w:p>
            <w:pPr>
              <w:spacing w:after="20" w:before="20"/>
            </w:pPr>
            <w:r/>
            <w:r>
              <w:rPr>
                <w:rFonts w:ascii="Times New Roman" w:hAnsi="Times New Roman" w:eastAsia="宋体"/>
                <w:b w:val="0"/>
                <w:sz w:val="21"/>
              </w:rPr>
              <w:t>2.0</w:t>
            </w:r>
          </w:p>
        </w:tc>
        <w:tc>
          <w:tcPr>
            <w:tcW w:type="dxa" w:w="959"/>
          </w:tcPr>
          <w:p>
            <w:pPr>
              <w:spacing w:after="20" w:before="20"/>
            </w:pPr>
            <w:r/>
            <w:r>
              <w:rPr>
                <w:rFonts w:ascii="Times New Roman" w:hAnsi="Times New Roman" w:eastAsia="宋体"/>
                <w:b w:val="0"/>
                <w:sz w:val="21"/>
              </w:rPr>
              <w:t>1.8</w:t>
            </w:r>
          </w:p>
        </w:tc>
        <w:tc>
          <w:tcPr>
            <w:tcW w:type="dxa" w:w="959"/>
          </w:tcPr>
          <w:p>
            <w:pPr>
              <w:spacing w:after="20" w:before="20"/>
            </w:pPr>
            <w:r/>
            <w:r>
              <w:rPr>
                <w:rFonts w:ascii="Times New Roman" w:hAnsi="Times New Roman" w:eastAsia="宋体"/>
                <w:b w:val="0"/>
                <w:sz w:val="21"/>
              </w:rPr>
              <w:t>1.6</w:t>
            </w:r>
          </w:p>
        </w:tc>
        <w:tc>
          <w:tcPr>
            <w:tcW w:type="dxa" w:w="959"/>
          </w:tcPr>
          <w:p>
            <w:pPr>
              <w:spacing w:after="20" w:before="20"/>
            </w:pPr>
            <w:r/>
            <w:r>
              <w:rPr>
                <w:rFonts w:ascii="Times New Roman" w:hAnsi="Times New Roman" w:eastAsia="宋体"/>
                <w:b w:val="0"/>
                <w:sz w:val="21"/>
              </w:rPr>
              <w:t>1.4</w:t>
            </w:r>
          </w:p>
        </w:tc>
        <w:tc>
          <w:tcPr>
            <w:tcW w:type="dxa" w:w="959"/>
          </w:tcPr>
          <w:p>
            <w:pPr>
              <w:spacing w:after="20" w:before="20"/>
            </w:pPr>
            <w:r/>
            <w:r>
              <w:rPr>
                <w:rFonts w:ascii="Times New Roman" w:hAnsi="Times New Roman" w:eastAsia="宋体"/>
                <w:b w:val="0"/>
                <w:sz w:val="21"/>
              </w:rPr>
              <w:t>1.2</w:t>
            </w:r>
          </w:p>
        </w:tc>
        <w:tc>
          <w:tcPr>
            <w:tcW w:type="dxa" w:w="959"/>
          </w:tcPr>
          <w:p>
            <w:pPr>
              <w:spacing w:after="20" w:before="20"/>
            </w:pPr>
            <w:r/>
            <w:r>
              <w:rPr>
                <w:rFonts w:ascii="Times New Roman" w:hAnsi="Times New Roman" w:eastAsia="宋体"/>
                <w:b w:val="0"/>
                <w:sz w:val="21"/>
              </w:rPr>
              <w:t>1.0</w:t>
            </w:r>
          </w:p>
        </w:tc>
        <w:tc>
          <w:tcPr>
            <w:tcW w:type="dxa" w:w="959"/>
          </w:tcPr>
          <w:p>
            <w:pPr>
              <w:spacing w:after="20" w:before="20"/>
            </w:pPr>
            <w:r/>
            <w:r>
              <w:rPr>
                <w:rFonts w:ascii="Times New Roman" w:hAnsi="Times New Roman" w:eastAsia="宋体"/>
                <w:b w:val="0"/>
                <w:sz w:val="21"/>
              </w:rPr>
              <w:t>0.8</w:t>
            </w:r>
          </w:p>
        </w:tc>
        <w:tc>
          <w:tcPr>
            <w:tcW w:type="dxa" w:w="959"/>
          </w:tcPr>
          <w:p>
            <w:pPr>
              <w:spacing w:after="20" w:before="20"/>
            </w:pPr>
            <w:r/>
            <w:r>
              <w:rPr>
                <w:rFonts w:ascii="Times New Roman" w:hAnsi="Times New Roman" w:eastAsia="宋体"/>
                <w:b w:val="0"/>
                <w:sz w:val="21"/>
              </w:rPr>
              <w:t>0.6</w:t>
            </w:r>
          </w:p>
        </w:tc>
      </w:tr>
    </w:tbl>
    <w:p>
      <w:pPr>
        <w:spacing w:after="80" w:lineRule="auto" w:line="360"/>
        <w:ind w:firstLine="482"/>
        <w:jc w:val="both"/>
      </w:pPr>
      <w:r>
        <w:rPr>
          <w:rFonts w:ascii="Times New Roman" w:hAnsi="Times New Roman" w:eastAsia="宋体"/>
          <w:b w:val="0"/>
          <w:sz w:val="24"/>
        </w:rPr>
        <w:t>（三）创新创业能力评分 5分</w:t>
      </w:r>
    </w:p>
    <w:p>
      <w:pPr>
        <w:spacing w:after="80" w:lineRule="auto" w:line="360"/>
        <w:ind w:firstLine="482"/>
        <w:jc w:val="both"/>
      </w:pPr>
      <w:r>
        <w:rPr>
          <w:rFonts w:ascii="Times New Roman" w:hAnsi="Times New Roman" w:eastAsia="宋体"/>
          <w:b w:val="0"/>
          <w:sz w:val="24"/>
        </w:rPr>
        <w:t>学生本科期间参加中国国际大学生创新大赛、“挑战杯”中国大学生创业计划竞赛和“挑战杯”全国大学生课外学术科技作品竞赛，获得省级及以上荣誉。同一项比赛以所有年度最高奖项或最高计分计算。</w:t>
      </w:r>
    </w:p>
    <w:p>
      <w:pPr>
        <w:spacing w:after="80" w:lineRule="auto" w:line="360"/>
        <w:ind w:firstLine="482"/>
        <w:jc w:val="both"/>
      </w:pPr>
      <w:r>
        <w:rPr>
          <w:rFonts w:ascii="Times New Roman" w:hAnsi="Times New Roman" w:eastAsia="宋体"/>
          <w:b w:val="0"/>
          <w:sz w:val="24"/>
        </w:rPr>
        <w:t>评分依据比赛级别和获奖名次计分；若是团队获奖，对排名前5的成员（本院）进行加分，按团队赛事级别和名次对应总分的0.5/0.4/0.3/0.2/0.1的系数赋分；比赛若设金奖、银奖和铜奖，奖励分对应分值为：金奖对应特等奖的分值，银奖对应一等奖和二等奖的平均分值，铜奖对应三等奖的分值。详见下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名次评分级别</w:t>
            </w:r>
          </w:p>
        </w:tc>
        <w:tc>
          <w:tcPr>
            <w:tcW w:type="dxa" w:w="959"/>
          </w:tcPr>
          <w:p>
            <w:pPr>
              <w:spacing w:after="20" w:before="20"/>
            </w:pPr>
            <w:r/>
            <w:r>
              <w:rPr>
                <w:rFonts w:ascii="Times New Roman" w:hAnsi="Times New Roman" w:eastAsia="宋体"/>
                <w:b/>
                <w:sz w:val="21"/>
              </w:rPr>
              <w:t>1</w:t>
            </w:r>
          </w:p>
        </w:tc>
        <w:tc>
          <w:tcPr>
            <w:tcW w:type="dxa" w:w="959"/>
          </w:tcPr>
          <w:p>
            <w:pPr>
              <w:spacing w:after="20" w:before="20"/>
            </w:pPr>
            <w:r/>
            <w:r>
              <w:rPr>
                <w:rFonts w:ascii="Times New Roman" w:hAnsi="Times New Roman" w:eastAsia="宋体"/>
                <w:b/>
                <w:sz w:val="21"/>
              </w:rPr>
              <w:t>2</w:t>
            </w:r>
          </w:p>
        </w:tc>
        <w:tc>
          <w:tcPr>
            <w:tcW w:type="dxa" w:w="959"/>
          </w:tcPr>
          <w:p>
            <w:pPr>
              <w:spacing w:after="20" w:before="20"/>
            </w:pPr>
            <w:r/>
            <w:r>
              <w:rPr>
                <w:rFonts w:ascii="Times New Roman" w:hAnsi="Times New Roman" w:eastAsia="宋体"/>
                <w:b/>
                <w:sz w:val="21"/>
              </w:rPr>
              <w:t>3</w:t>
            </w:r>
          </w:p>
        </w:tc>
        <w:tc>
          <w:tcPr>
            <w:tcW w:type="dxa" w:w="959"/>
          </w:tcPr>
          <w:p>
            <w:pPr>
              <w:spacing w:after="20" w:before="20"/>
            </w:pPr>
            <w:r/>
            <w:r>
              <w:rPr>
                <w:rFonts w:ascii="Times New Roman" w:hAnsi="Times New Roman" w:eastAsia="宋体"/>
                <w:b/>
                <w:sz w:val="21"/>
              </w:rPr>
              <w:t>4</w:t>
            </w:r>
          </w:p>
        </w:tc>
        <w:tc>
          <w:tcPr>
            <w:tcW w:type="dxa" w:w="959"/>
          </w:tcPr>
          <w:p>
            <w:pPr>
              <w:spacing w:after="20" w:before="20"/>
            </w:pPr>
            <w:r/>
            <w:r>
              <w:rPr>
                <w:rFonts w:ascii="Times New Roman" w:hAnsi="Times New Roman" w:eastAsia="宋体"/>
                <w:b/>
                <w:sz w:val="21"/>
              </w:rPr>
              <w:t>5</w:t>
            </w:r>
          </w:p>
        </w:tc>
        <w:tc>
          <w:tcPr>
            <w:tcW w:type="dxa" w:w="959"/>
          </w:tcPr>
          <w:p>
            <w:pPr>
              <w:spacing w:after="20" w:before="20"/>
            </w:pPr>
            <w:r/>
            <w:r>
              <w:rPr>
                <w:rFonts w:ascii="Times New Roman" w:hAnsi="Times New Roman" w:eastAsia="宋体"/>
                <w:b/>
                <w:sz w:val="21"/>
              </w:rPr>
              <w:t>6</w:t>
            </w:r>
          </w:p>
        </w:tc>
        <w:tc>
          <w:tcPr>
            <w:tcW w:type="dxa" w:w="959"/>
          </w:tcPr>
          <w:p>
            <w:pPr>
              <w:spacing w:after="20" w:before="20"/>
            </w:pPr>
            <w:r/>
            <w:r>
              <w:rPr>
                <w:rFonts w:ascii="Times New Roman" w:hAnsi="Times New Roman" w:eastAsia="宋体"/>
                <w:b/>
                <w:sz w:val="21"/>
              </w:rPr>
              <w:t>7</w:t>
            </w:r>
          </w:p>
        </w:tc>
        <w:tc>
          <w:tcPr>
            <w:tcW w:type="dxa" w:w="959"/>
          </w:tcPr>
          <w:p>
            <w:pPr>
              <w:spacing w:after="20" w:before="20"/>
            </w:pPr>
            <w:r/>
            <w:r>
              <w:rPr>
                <w:rFonts w:ascii="Times New Roman" w:hAnsi="Times New Roman" w:eastAsia="宋体"/>
                <w:b/>
                <w:sz w:val="21"/>
              </w:rPr>
              <w:t>8</w:t>
            </w:r>
          </w:p>
        </w:tc>
      </w:tr>
      <w:tr>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5.0</w:t>
            </w:r>
          </w:p>
        </w:tc>
        <w:tc>
          <w:tcPr>
            <w:tcW w:type="dxa" w:w="959"/>
          </w:tcPr>
          <w:p>
            <w:pPr>
              <w:spacing w:after="20" w:before="20"/>
            </w:pPr>
            <w:r/>
            <w:r>
              <w:rPr>
                <w:rFonts w:ascii="Times New Roman" w:hAnsi="Times New Roman" w:eastAsia="宋体"/>
                <w:b w:val="0"/>
                <w:sz w:val="21"/>
              </w:rPr>
              <w:t>4.5</w:t>
            </w:r>
          </w:p>
        </w:tc>
        <w:tc>
          <w:tcPr>
            <w:tcW w:type="dxa" w:w="959"/>
          </w:tcPr>
          <w:p>
            <w:pPr>
              <w:spacing w:after="20" w:before="20"/>
            </w:pPr>
            <w:r/>
            <w:r>
              <w:rPr>
                <w:rFonts w:ascii="Times New Roman" w:hAnsi="Times New Roman" w:eastAsia="宋体"/>
                <w:b w:val="0"/>
                <w:sz w:val="21"/>
              </w:rPr>
              <w:t>4</w:t>
            </w:r>
          </w:p>
        </w:tc>
        <w:tc>
          <w:tcPr>
            <w:tcW w:type="dxa" w:w="959"/>
          </w:tcPr>
          <w:p>
            <w:pPr>
              <w:spacing w:after="20" w:before="20"/>
            </w:pPr>
            <w:r/>
            <w:r>
              <w:rPr>
                <w:rFonts w:ascii="Times New Roman" w:hAnsi="Times New Roman" w:eastAsia="宋体"/>
                <w:b w:val="0"/>
                <w:sz w:val="21"/>
              </w:rPr>
              <w:t>3.5</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部、省级</w:t>
            </w:r>
          </w:p>
        </w:tc>
        <w:tc>
          <w:tcPr>
            <w:tcW w:type="dxa" w:w="959"/>
          </w:tcPr>
          <w:p>
            <w:pPr>
              <w:spacing w:after="20" w:before="20"/>
            </w:pPr>
            <w:r/>
            <w:r>
              <w:rPr>
                <w:rFonts w:ascii="Times New Roman" w:hAnsi="Times New Roman" w:eastAsia="宋体"/>
                <w:b w:val="0"/>
                <w:sz w:val="21"/>
              </w:rPr>
              <w:t>3.5</w:t>
            </w:r>
          </w:p>
        </w:tc>
        <w:tc>
          <w:tcPr>
            <w:tcW w:type="dxa" w:w="959"/>
          </w:tcPr>
          <w:p>
            <w:pPr>
              <w:spacing w:after="20" w:before="20"/>
            </w:pPr>
            <w:r/>
            <w:r>
              <w:rPr>
                <w:rFonts w:ascii="Times New Roman" w:hAnsi="Times New Roman" w:eastAsia="宋体"/>
                <w:b w:val="0"/>
                <w:sz w:val="21"/>
              </w:rPr>
              <w:t>3.0</w:t>
            </w:r>
          </w:p>
        </w:tc>
        <w:tc>
          <w:tcPr>
            <w:tcW w:type="dxa" w:w="959"/>
          </w:tcPr>
          <w:p>
            <w:pPr>
              <w:spacing w:after="20" w:before="20"/>
            </w:pPr>
            <w:r/>
            <w:r>
              <w:rPr>
                <w:rFonts w:ascii="Times New Roman" w:hAnsi="Times New Roman" w:eastAsia="宋体"/>
                <w:b w:val="0"/>
                <w:sz w:val="21"/>
              </w:rPr>
              <w:t>2.5</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bl>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名次评分级别</w:t>
            </w:r>
          </w:p>
        </w:tc>
        <w:tc>
          <w:tcPr>
            <w:tcW w:type="dxa" w:w="1727"/>
          </w:tcPr>
          <w:p>
            <w:pPr>
              <w:spacing w:after="20" w:before="20"/>
            </w:pPr>
            <w:r/>
            <w:r>
              <w:rPr>
                <w:rFonts w:ascii="Times New Roman" w:hAnsi="Times New Roman" w:eastAsia="宋体"/>
                <w:b/>
                <w:sz w:val="21"/>
              </w:rPr>
              <w:t>特等奖</w:t>
            </w:r>
          </w:p>
        </w:tc>
        <w:tc>
          <w:tcPr>
            <w:tcW w:type="dxa" w:w="1727"/>
          </w:tcPr>
          <w:p>
            <w:pPr>
              <w:spacing w:after="20" w:before="20"/>
            </w:pPr>
            <w:r/>
            <w:r>
              <w:rPr>
                <w:rFonts w:ascii="Times New Roman" w:hAnsi="Times New Roman" w:eastAsia="宋体"/>
                <w:b/>
                <w:sz w:val="21"/>
              </w:rPr>
              <w:t>一等奖</w:t>
            </w:r>
          </w:p>
        </w:tc>
        <w:tc>
          <w:tcPr>
            <w:tcW w:type="dxa" w:w="1727"/>
          </w:tcPr>
          <w:p>
            <w:pPr>
              <w:spacing w:after="20" w:before="20"/>
            </w:pPr>
            <w:r/>
            <w:r>
              <w:rPr>
                <w:rFonts w:ascii="Times New Roman" w:hAnsi="Times New Roman" w:eastAsia="宋体"/>
                <w:b/>
                <w:sz w:val="21"/>
              </w:rPr>
              <w:t>二等奖</w:t>
            </w:r>
          </w:p>
        </w:tc>
        <w:tc>
          <w:tcPr>
            <w:tcW w:type="dxa" w:w="1727"/>
          </w:tcPr>
          <w:p>
            <w:pPr>
              <w:spacing w:after="20" w:before="20"/>
            </w:pPr>
            <w:r/>
            <w:r>
              <w:rPr>
                <w:rFonts w:ascii="Times New Roman" w:hAnsi="Times New Roman" w:eastAsia="宋体"/>
                <w:b/>
                <w:sz w:val="21"/>
              </w:rPr>
              <w:t>三等奖</w:t>
            </w:r>
          </w:p>
        </w:tc>
      </w:tr>
      <w:tr>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