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3006"/>
        <w:spacing w:before="156" w:line="220" w:lineRule="auto"/>
        <w:outlineLvl w:val="0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27"/>
        </w:rPr>
        <w:t>长春中医药大学</w:t>
      </w:r>
    </w:p>
    <w:p>
      <w:pPr>
        <w:ind w:left="936"/>
        <w:spacing w:before="263" w:line="219" w:lineRule="auto"/>
        <w:outlineLvl w:val="0"/>
        <w:rPr>
          <w:rFonts w:ascii="SimSun" w:hAnsi="SimSun" w:eastAsia="SimSun" w:cs="SimSun"/>
          <w:sz w:val="46"/>
          <w:szCs w:val="46"/>
        </w:rPr>
      </w:pPr>
      <w:r>
        <w:rPr>
          <w:rFonts w:ascii="SimSun" w:hAnsi="SimSun" w:eastAsia="SimSun" w:cs="SimSun"/>
          <w:sz w:val="46"/>
          <w:szCs w:val="46"/>
          <w:b/>
          <w:bCs/>
          <w:spacing w:val="-9"/>
        </w:rPr>
        <w:t>2026年接收推荐免试攻读硕士研究生</w:t>
      </w:r>
    </w:p>
    <w:p>
      <w:pPr>
        <w:ind w:left="1836"/>
        <w:spacing w:before="264" w:line="219" w:lineRule="auto"/>
        <w:outlineLvl w:val="0"/>
        <w:rPr>
          <w:rFonts w:ascii="SimSun" w:hAnsi="SimSun" w:eastAsia="SimSun" w:cs="SimSun"/>
          <w:sz w:val="46"/>
          <w:szCs w:val="46"/>
        </w:rPr>
      </w:pPr>
      <w:r>
        <w:rPr>
          <w:rFonts w:ascii="SimSun" w:hAnsi="SimSun" w:eastAsia="SimSun" w:cs="SimSun"/>
          <w:sz w:val="46"/>
          <w:szCs w:val="46"/>
          <w:b/>
          <w:bCs/>
          <w:spacing w:val="-7"/>
        </w:rPr>
        <w:t>及本科直博生工作实施办法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right="44" w:firstLine="639"/>
        <w:spacing w:before="101" w:line="341" w:lineRule="auto"/>
        <w:jc w:val="both"/>
        <w:rPr/>
      </w:pPr>
      <w:r>
        <w:rPr>
          <w:spacing w:val="13"/>
        </w:rPr>
        <w:t>根据教育部办公厅《全国普通高等学校推荐优秀应</w:t>
      </w:r>
      <w:r>
        <w:rPr>
          <w:spacing w:val="12"/>
        </w:rPr>
        <w:t>届本科毕</w:t>
      </w:r>
      <w:r>
        <w:rPr/>
        <w:t xml:space="preserve"> </w:t>
      </w:r>
      <w:r>
        <w:rPr>
          <w:spacing w:val="54"/>
        </w:rPr>
        <w:t>业生免试攻读硕士学位研究生工作管理办法(试行)》(教</w:t>
      </w:r>
      <w:r>
        <w:rPr>
          <w:spacing w:val="10"/>
        </w:rPr>
        <w:t xml:space="preserve"> </w:t>
      </w:r>
      <w:r>
        <w:rPr>
          <w:spacing w:val="11"/>
        </w:rPr>
        <w:t>学〔2006〕14号)、</w:t>
      </w:r>
      <w:r>
        <w:rPr>
          <w:spacing w:val="53"/>
        </w:rPr>
        <w:t xml:space="preserve"> </w:t>
      </w:r>
      <w:r>
        <w:rPr>
          <w:spacing w:val="11"/>
        </w:rPr>
        <w:t>《关于进一步加强推荐优秀应届本科毕业生</w:t>
      </w:r>
      <w:r>
        <w:rPr/>
        <w:t xml:space="preserve"> </w:t>
      </w:r>
      <w:r>
        <w:rPr>
          <w:spacing w:val="7"/>
        </w:rPr>
        <w:t>免试攻读硕士研究生工作的通知》(教学厅〔2013〕8号</w:t>
      </w:r>
      <w:r>
        <w:rPr>
          <w:spacing w:val="6"/>
        </w:rPr>
        <w:t>)、《关于</w:t>
      </w:r>
      <w:r>
        <w:rPr/>
        <w:t xml:space="preserve"> </w:t>
      </w:r>
      <w:r>
        <w:rPr>
          <w:spacing w:val="44"/>
        </w:rPr>
        <w:t>进</w:t>
      </w:r>
      <w:r>
        <w:rPr>
          <w:spacing w:val="-69"/>
        </w:rPr>
        <w:t xml:space="preserve"> </w:t>
      </w:r>
      <w:r>
        <w:rPr>
          <w:spacing w:val="44"/>
        </w:rPr>
        <w:t>一</w:t>
      </w:r>
      <w:r>
        <w:rPr>
          <w:spacing w:val="-77"/>
        </w:rPr>
        <w:t xml:space="preserve"> </w:t>
      </w:r>
      <w:r>
        <w:rPr>
          <w:spacing w:val="44"/>
        </w:rPr>
        <w:t>步完善推荐优秀应届本科毕业生免试攻读硕士研究生</w:t>
      </w:r>
      <w:r>
        <w:rPr/>
        <w:t xml:space="preserve"> </w:t>
      </w:r>
      <w:r>
        <w:rPr>
          <w:spacing w:val="27"/>
        </w:rPr>
        <w:t>工作办法的通知》(教学厅〔2014〕5号)文件</w:t>
      </w:r>
      <w:r>
        <w:rPr>
          <w:spacing w:val="26"/>
        </w:rPr>
        <w:t>精神，按照《长</w:t>
      </w:r>
      <w:r>
        <w:rPr/>
        <w:t xml:space="preserve"> </w:t>
      </w:r>
      <w:r>
        <w:rPr>
          <w:spacing w:val="50"/>
        </w:rPr>
        <w:t>春中医药大学推荐优秀应届本科毕业生免试攻读硕士学位</w:t>
      </w:r>
      <w:r>
        <w:rPr>
          <w:spacing w:val="8"/>
        </w:rPr>
        <w:t xml:space="preserve"> </w:t>
      </w:r>
      <w:r>
        <w:rPr>
          <w:spacing w:val="26"/>
        </w:rPr>
        <w:t>研究生工作管理办法》及2025年全国推免工作视频会议精神，</w:t>
      </w:r>
      <w:r>
        <w:rPr/>
        <w:t xml:space="preserve"> </w:t>
      </w:r>
      <w:r>
        <w:rPr>
          <w:spacing w:val="37"/>
        </w:rPr>
        <w:t>制定我校接收推荐免试攻读硕士研究生及本科</w:t>
      </w:r>
      <w:r>
        <w:rPr>
          <w:spacing w:val="36"/>
        </w:rPr>
        <w:t>直博生工作实</w:t>
      </w:r>
      <w:r>
        <w:rPr/>
        <w:t xml:space="preserve"> </w:t>
      </w:r>
      <w:r>
        <w:rPr>
          <w:spacing w:val="11"/>
        </w:rPr>
        <w:t>施办法。</w:t>
      </w:r>
    </w:p>
    <w:p>
      <w:pPr>
        <w:ind w:left="639"/>
        <w:spacing w:before="27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5"/>
        </w:rPr>
        <w:t>一、接收推荐免试攻读硕士研究生</w:t>
      </w:r>
    </w:p>
    <w:p>
      <w:pPr>
        <w:ind w:left="639"/>
        <w:spacing w:before="191" w:line="228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15"/>
        </w:rPr>
        <w:t>(一)范围和比例</w:t>
      </w:r>
    </w:p>
    <w:p>
      <w:pPr>
        <w:pStyle w:val="BodyText"/>
        <w:ind w:right="129" w:firstLine="639"/>
        <w:spacing w:before="189" w:line="267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1. </w:t>
      </w:r>
      <w:r>
        <w:rPr>
          <w:sz w:val="32"/>
          <w:szCs w:val="32"/>
          <w:spacing w:val="3"/>
        </w:rPr>
        <w:t>我校招收全日制硕士研究生的所有学科专业，</w:t>
      </w:r>
      <w:r>
        <w:rPr>
          <w:sz w:val="32"/>
          <w:szCs w:val="32"/>
          <w:spacing w:val="2"/>
        </w:rPr>
        <w:t>均接收校内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外推免生。</w:t>
      </w:r>
    </w:p>
    <w:p>
      <w:pPr>
        <w:pStyle w:val="BodyText"/>
        <w:spacing w:before="345" w:line="222" w:lineRule="auto"/>
        <w:jc w:val="right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7"/>
        </w:rPr>
        <w:t>2. </w:t>
      </w:r>
      <w:r>
        <w:rPr>
          <w:sz w:val="32"/>
          <w:szCs w:val="32"/>
          <w:spacing w:val="7"/>
        </w:rPr>
        <w:t>接收推免生的人数，</w:t>
      </w:r>
      <w:r>
        <w:rPr>
          <w:sz w:val="32"/>
          <w:szCs w:val="32"/>
          <w:spacing w:val="7"/>
        </w:rPr>
        <w:t xml:space="preserve"> </w:t>
      </w:r>
      <w:r>
        <w:rPr>
          <w:sz w:val="32"/>
          <w:szCs w:val="32"/>
          <w:spacing w:val="7"/>
        </w:rPr>
        <w:t>一般不超过本专业招生人数的50%。</w:t>
      </w:r>
    </w:p>
    <w:p>
      <w:pPr>
        <w:ind w:left="639"/>
        <w:spacing w:before="313" w:line="224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20"/>
        </w:rPr>
        <w:t>(二)申请条件</w:t>
      </w:r>
    </w:p>
    <w:p>
      <w:pPr>
        <w:spacing w:line="224" w:lineRule="auto"/>
        <w:sectPr>
          <w:footerReference w:type="default" r:id="rId1"/>
          <w:pgSz w:w="11900" w:h="16830"/>
          <w:pgMar w:top="1430" w:right="1279" w:bottom="1071" w:left="1450" w:header="0" w:footer="810" w:gutter="0"/>
        </w:sectPr>
        <w:rPr>
          <w:rFonts w:ascii="KaiTi" w:hAnsi="KaiTi" w:eastAsia="KaiTi" w:cs="KaiTi"/>
          <w:sz w:val="33"/>
          <w:szCs w:val="33"/>
        </w:rPr>
      </w:pPr>
    </w:p>
    <w:p>
      <w:pPr>
        <w:pStyle w:val="BodyText"/>
        <w:ind w:left="69" w:right="134" w:firstLine="550"/>
        <w:spacing w:before="333" w:line="27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29"/>
        </w:rPr>
        <w:t>1.</w:t>
      </w:r>
      <w:r>
        <w:rPr>
          <w:rFonts w:ascii="Times New Roman" w:hAnsi="Times New Roman" w:eastAsia="Times New Roman" w:cs="Times New Roman"/>
          <w:sz w:val="32"/>
          <w:szCs w:val="32"/>
          <w:spacing w:val="47"/>
          <w:w w:val="101"/>
        </w:rPr>
        <w:t xml:space="preserve"> </w:t>
      </w:r>
      <w:r>
        <w:rPr>
          <w:sz w:val="32"/>
          <w:szCs w:val="32"/>
          <w:spacing w:val="29"/>
        </w:rPr>
        <w:t>获得本科所在学校推荐免试资格的优秀应届本</w:t>
      </w:r>
      <w:r>
        <w:rPr>
          <w:sz w:val="32"/>
          <w:szCs w:val="32"/>
          <w:spacing w:val="28"/>
        </w:rPr>
        <w:t>科毕业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4"/>
        </w:rPr>
        <w:t>生。以教育部“推免服务系统”备案信息为准。</w:t>
      </w:r>
    </w:p>
    <w:p>
      <w:pPr>
        <w:pStyle w:val="BodyText"/>
        <w:ind w:left="619"/>
        <w:spacing w:before="223" w:line="22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29"/>
        </w:rPr>
        <w:t>2.</w:t>
      </w:r>
      <w:r>
        <w:rPr>
          <w:rFonts w:ascii="Times New Roman" w:hAnsi="Times New Roman" w:eastAsia="Times New Roman" w:cs="Times New Roman"/>
          <w:sz w:val="30"/>
          <w:szCs w:val="30"/>
          <w:spacing w:val="37"/>
        </w:rPr>
        <w:t xml:space="preserve"> </w:t>
      </w:r>
      <w:r>
        <w:rPr>
          <w:sz w:val="30"/>
          <w:szCs w:val="30"/>
          <w:spacing w:val="29"/>
        </w:rPr>
        <w:t>身体健康状况符合规定的体检要求。</w:t>
      </w:r>
    </w:p>
    <w:p>
      <w:pPr>
        <w:pStyle w:val="BodyText"/>
        <w:ind w:right="117" w:firstLine="619"/>
        <w:spacing w:before="224" w:line="320" w:lineRule="auto"/>
        <w:rPr/>
      </w:pPr>
      <w:r>
        <w:rPr>
          <w:rFonts w:ascii="Times New Roman" w:hAnsi="Times New Roman" w:eastAsia="Times New Roman" w:cs="Times New Roman"/>
          <w:spacing w:val="14"/>
        </w:rPr>
        <w:t>3. </w:t>
      </w:r>
      <w:r>
        <w:rPr>
          <w:spacing w:val="14"/>
        </w:rPr>
        <w:t>报考中医硕士、临床医学硕士研究生，本科专业必须为符</w:t>
      </w:r>
      <w:r>
        <w:rPr>
          <w:spacing w:val="5"/>
        </w:rPr>
        <w:t xml:space="preserve"> </w:t>
      </w:r>
      <w:r>
        <w:rPr>
          <w:spacing w:val="14"/>
        </w:rPr>
        <w:t>合执业医师资格考试报考条件规定的专业要求，且报考专业应与</w:t>
      </w:r>
      <w:r>
        <w:rPr>
          <w:spacing w:val="14"/>
        </w:rPr>
        <w:t xml:space="preserve"> </w:t>
      </w:r>
      <w:r>
        <w:rPr>
          <w:spacing w:val="17"/>
        </w:rPr>
        <w:t>本科所学专业相同或相近。</w:t>
      </w:r>
    </w:p>
    <w:p>
      <w:pPr>
        <w:ind w:left="619"/>
        <w:spacing w:before="289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4"/>
        </w:rPr>
        <w:t>二、接收推荐免试攻读博士研究生(本科直博生)</w:t>
      </w:r>
    </w:p>
    <w:p>
      <w:pPr>
        <w:ind w:left="619"/>
        <w:spacing w:before="191" w:line="228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15"/>
        </w:rPr>
        <w:t>(一)范围和比例</w:t>
      </w:r>
    </w:p>
    <w:p>
      <w:pPr>
        <w:pStyle w:val="BodyText"/>
        <w:ind w:firstLine="619"/>
        <w:spacing w:before="188" w:line="313" w:lineRule="auto"/>
        <w:rPr/>
      </w:pPr>
      <w:r>
        <w:rPr>
          <w:rFonts w:ascii="Times New Roman" w:hAnsi="Times New Roman" w:eastAsia="Times New Roman" w:cs="Times New Roman"/>
          <w:spacing w:val="11"/>
        </w:rPr>
        <w:t>1.</w:t>
      </w:r>
      <w:r>
        <w:rPr>
          <w:rFonts w:ascii="Times New Roman" w:hAnsi="Times New Roman" w:eastAsia="Times New Roman" w:cs="Times New Roman"/>
          <w:spacing w:val="54"/>
          <w:w w:val="101"/>
        </w:rPr>
        <w:t xml:space="preserve"> </w:t>
      </w:r>
      <w:r>
        <w:rPr>
          <w:spacing w:val="11"/>
        </w:rPr>
        <w:t>我校中医学、中药学一级学科所属部分学术型学科专业开</w:t>
      </w:r>
      <w:r>
        <w:rPr/>
        <w:t xml:space="preserve">  </w:t>
      </w:r>
      <w:r>
        <w:rPr>
          <w:spacing w:val="19"/>
        </w:rPr>
        <w:t>展直博生招生工作，具体学科专业以年度直博</w:t>
      </w:r>
      <w:r>
        <w:rPr>
          <w:spacing w:val="18"/>
        </w:rPr>
        <w:t>生招生章程为准。</w:t>
      </w:r>
      <w:r>
        <w:rPr/>
        <w:t xml:space="preserve"> </w:t>
      </w:r>
      <w:r>
        <w:rPr>
          <w:spacing w:val="19"/>
        </w:rPr>
        <w:t>直博生选择导师须为校内专职小于60周岁(截至直博生入学年度</w:t>
      </w:r>
      <w:r>
        <w:rPr/>
        <w:t xml:space="preserve"> </w:t>
      </w:r>
      <w:r>
        <w:rPr>
          <w:spacing w:val="19"/>
        </w:rPr>
        <w:t>6月30日)博士生导师，每名博士生导师招收直博生每年不超过1</w:t>
      </w:r>
      <w:r>
        <w:rPr>
          <w:spacing w:val="6"/>
        </w:rPr>
        <w:t xml:space="preserve"> </w:t>
      </w:r>
      <w:r>
        <w:rPr>
          <w:spacing w:val="-7"/>
        </w:rPr>
        <w:t>人。</w:t>
      </w:r>
    </w:p>
    <w:p>
      <w:pPr>
        <w:pStyle w:val="BodyText"/>
        <w:ind w:right="193" w:firstLine="619"/>
        <w:spacing w:before="251" w:line="301" w:lineRule="auto"/>
        <w:rPr/>
      </w:pPr>
      <w:r>
        <w:rPr>
          <w:rFonts w:ascii="Times New Roman" w:hAnsi="Times New Roman" w:eastAsia="Times New Roman" w:cs="Times New Roman"/>
          <w:spacing w:val="-23"/>
        </w:rPr>
        <w:t>2.  </w:t>
      </w:r>
      <w:r>
        <w:rPr>
          <w:spacing w:val="-23"/>
        </w:rPr>
        <w:t>接</w:t>
      </w:r>
      <w:r>
        <w:rPr>
          <w:spacing w:val="-41"/>
        </w:rPr>
        <w:t xml:space="preserve"> </w:t>
      </w:r>
      <w:r>
        <w:rPr>
          <w:spacing w:val="-23"/>
        </w:rPr>
        <w:t>收</w:t>
      </w:r>
      <w:r>
        <w:rPr>
          <w:spacing w:val="-61"/>
        </w:rPr>
        <w:t xml:space="preserve"> </w:t>
      </w:r>
      <w:r>
        <w:rPr>
          <w:spacing w:val="-23"/>
        </w:rPr>
        <w:t>直</w:t>
      </w:r>
      <w:r>
        <w:rPr>
          <w:spacing w:val="-58"/>
        </w:rPr>
        <w:t xml:space="preserve"> </w:t>
      </w:r>
      <w:r>
        <w:rPr>
          <w:spacing w:val="-23"/>
        </w:rPr>
        <w:t>博</w:t>
      </w:r>
      <w:r>
        <w:rPr>
          <w:spacing w:val="-43"/>
        </w:rPr>
        <w:t xml:space="preserve"> </w:t>
      </w:r>
      <w:r>
        <w:rPr>
          <w:spacing w:val="-23"/>
        </w:rPr>
        <w:t>生</w:t>
      </w:r>
      <w:r>
        <w:rPr>
          <w:spacing w:val="-56"/>
        </w:rPr>
        <w:t xml:space="preserve"> </w:t>
      </w:r>
      <w:r>
        <w:rPr>
          <w:spacing w:val="-23"/>
        </w:rPr>
        <w:t>人</w:t>
      </w:r>
      <w:r>
        <w:rPr>
          <w:spacing w:val="-61"/>
        </w:rPr>
        <w:t xml:space="preserve"> </w:t>
      </w:r>
      <w:r>
        <w:rPr>
          <w:spacing w:val="-23"/>
        </w:rPr>
        <w:t>数</w:t>
      </w:r>
      <w:r>
        <w:rPr>
          <w:spacing w:val="-54"/>
        </w:rPr>
        <w:t xml:space="preserve"> </w:t>
      </w:r>
      <w:r>
        <w:rPr>
          <w:spacing w:val="-23"/>
        </w:rPr>
        <w:t>不</w:t>
      </w:r>
      <w:r>
        <w:rPr>
          <w:spacing w:val="-42"/>
        </w:rPr>
        <w:t xml:space="preserve"> </w:t>
      </w:r>
      <w:r>
        <w:rPr>
          <w:spacing w:val="-23"/>
        </w:rPr>
        <w:t>多</w:t>
      </w:r>
      <w:r>
        <w:rPr>
          <w:spacing w:val="-55"/>
        </w:rPr>
        <w:t xml:space="preserve"> </w:t>
      </w:r>
      <w:r>
        <w:rPr>
          <w:spacing w:val="-23"/>
        </w:rPr>
        <w:t>于</w:t>
      </w:r>
      <w:r>
        <w:rPr>
          <w:spacing w:val="-58"/>
        </w:rPr>
        <w:t xml:space="preserve"> </w:t>
      </w:r>
      <w:r>
        <w:rPr>
          <w:spacing w:val="-23"/>
        </w:rPr>
        <w:t>上</w:t>
      </w:r>
      <w:r>
        <w:rPr>
          <w:spacing w:val="-56"/>
        </w:rPr>
        <w:t xml:space="preserve"> </w:t>
      </w:r>
      <w:r>
        <w:rPr>
          <w:spacing w:val="-23"/>
        </w:rPr>
        <w:t>一</w:t>
      </w:r>
      <w:r>
        <w:rPr>
          <w:spacing w:val="-55"/>
        </w:rPr>
        <w:t xml:space="preserve"> </w:t>
      </w:r>
      <w:r>
        <w:rPr>
          <w:spacing w:val="-23"/>
        </w:rPr>
        <w:t>年</w:t>
      </w:r>
      <w:r>
        <w:rPr>
          <w:spacing w:val="-61"/>
        </w:rPr>
        <w:t xml:space="preserve"> </w:t>
      </w:r>
      <w:r>
        <w:rPr>
          <w:spacing w:val="-23"/>
        </w:rPr>
        <w:t>度</w:t>
      </w:r>
      <w:r>
        <w:rPr>
          <w:spacing w:val="-53"/>
        </w:rPr>
        <w:t xml:space="preserve"> </w:t>
      </w:r>
      <w:r>
        <w:rPr>
          <w:spacing w:val="-23"/>
        </w:rPr>
        <w:t>全</w:t>
      </w:r>
      <w:r>
        <w:rPr>
          <w:spacing w:val="-61"/>
        </w:rPr>
        <w:t xml:space="preserve"> </w:t>
      </w:r>
      <w:r>
        <w:rPr>
          <w:spacing w:val="-23"/>
        </w:rPr>
        <w:t>校</w:t>
      </w:r>
      <w:r>
        <w:rPr>
          <w:spacing w:val="-58"/>
        </w:rPr>
        <w:t xml:space="preserve"> </w:t>
      </w:r>
      <w:r>
        <w:rPr>
          <w:spacing w:val="-23"/>
        </w:rPr>
        <w:t>博</w:t>
      </w:r>
      <w:r>
        <w:rPr>
          <w:spacing w:val="-54"/>
        </w:rPr>
        <w:t xml:space="preserve"> </w:t>
      </w:r>
      <w:r>
        <w:rPr>
          <w:spacing w:val="-23"/>
        </w:rPr>
        <w:t>士</w:t>
      </w:r>
      <w:r>
        <w:rPr>
          <w:spacing w:val="-62"/>
        </w:rPr>
        <w:t xml:space="preserve"> </w:t>
      </w:r>
      <w:r>
        <w:rPr>
          <w:spacing w:val="-23"/>
        </w:rPr>
        <w:t>招</w:t>
      </w:r>
      <w:r>
        <w:rPr>
          <w:spacing w:val="-42"/>
        </w:rPr>
        <w:t xml:space="preserve"> </w:t>
      </w:r>
      <w:r>
        <w:rPr>
          <w:spacing w:val="-23"/>
        </w:rPr>
        <w:t>生</w:t>
      </w:r>
      <w:r>
        <w:rPr>
          <w:spacing w:val="-61"/>
        </w:rPr>
        <w:t xml:space="preserve"> </w:t>
      </w:r>
      <w:r>
        <w:rPr>
          <w:spacing w:val="-23"/>
        </w:rPr>
        <w:t>计</w:t>
      </w:r>
      <w:r>
        <w:rPr/>
        <w:t xml:space="preserve"> </w:t>
      </w:r>
      <w:r>
        <w:rPr>
          <w:spacing w:val="34"/>
        </w:rPr>
        <w:t>划的20%,总计划及分专业计划由学校研究生招生工作领</w:t>
      </w:r>
      <w:r>
        <w:rPr>
          <w:spacing w:val="33"/>
        </w:rPr>
        <w:t>导小</w:t>
      </w:r>
      <w:r>
        <w:rPr/>
        <w:t xml:space="preserve"> </w:t>
      </w:r>
      <w:r>
        <w:rPr>
          <w:spacing w:val="23"/>
        </w:rPr>
        <w:t>组研究决定，具体计划分配以年度直博生选拔通知为准，直博</w:t>
      </w:r>
      <w:r>
        <w:rPr>
          <w:spacing w:val="7"/>
        </w:rPr>
        <w:t xml:space="preserve"> </w:t>
      </w:r>
      <w:r>
        <w:rPr>
          <w:spacing w:val="23"/>
        </w:rPr>
        <w:t>生计划录取人数不足时，可转入统招计划进行博士录取工作。</w:t>
      </w:r>
    </w:p>
    <w:p>
      <w:pPr>
        <w:ind w:left="619"/>
        <w:spacing w:before="248" w:line="224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16"/>
        </w:rPr>
        <w:t>(二)申请条件</w:t>
      </w:r>
    </w:p>
    <w:p>
      <w:pPr>
        <w:pStyle w:val="BodyText"/>
        <w:ind w:right="233" w:firstLine="619"/>
        <w:spacing w:before="216" w:line="274" w:lineRule="auto"/>
        <w:rPr/>
      </w:pPr>
      <w:r>
        <w:rPr>
          <w:spacing w:val="36"/>
        </w:rPr>
        <w:t>1.申请人所在高校必须具有教育部当年批准的推荐免试</w:t>
      </w:r>
      <w:r>
        <w:rPr>
          <w:spacing w:val="10"/>
        </w:rPr>
        <w:t xml:space="preserve"> </w:t>
      </w:r>
      <w:r>
        <w:rPr>
          <w:spacing w:val="20"/>
        </w:rPr>
        <w:t>资格，申请人系获得该校推免生资格的优秀应届本科毕业生。</w:t>
      </w:r>
    </w:p>
    <w:p>
      <w:pPr>
        <w:pStyle w:val="BodyText"/>
        <w:ind w:right="66" w:firstLine="619"/>
        <w:spacing w:before="243" w:line="285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2. </w:t>
      </w:r>
      <w:r>
        <w:rPr>
          <w:sz w:val="32"/>
          <w:szCs w:val="32"/>
          <w:spacing w:val="-4"/>
        </w:rPr>
        <w:t>思想道德品质良好，刻苦学习，勤于思考，</w:t>
      </w:r>
      <w:r>
        <w:rPr>
          <w:sz w:val="32"/>
          <w:szCs w:val="32"/>
          <w:spacing w:val="-5"/>
        </w:rPr>
        <w:t>有较强的创新意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5"/>
        </w:rPr>
        <w:t>识、独立调查研究、综合分析问题、解决问题能力，具备作为博</w:t>
      </w:r>
      <w:r>
        <w:rPr>
          <w:sz w:val="32"/>
          <w:szCs w:val="32"/>
          <w:spacing w:val="9"/>
        </w:rPr>
        <w:t xml:space="preserve"> </w:t>
      </w:r>
      <w:r>
        <w:rPr>
          <w:sz w:val="32"/>
          <w:szCs w:val="32"/>
          <w:spacing w:val="8"/>
        </w:rPr>
        <w:t>士研究生培养的能力和素质。</w:t>
      </w:r>
    </w:p>
    <w:p>
      <w:pPr>
        <w:pStyle w:val="BodyText"/>
        <w:ind w:left="619"/>
        <w:spacing w:before="240" w:line="22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3. </w:t>
      </w:r>
      <w:r>
        <w:rPr>
          <w:sz w:val="32"/>
          <w:szCs w:val="32"/>
          <w:spacing w:val="-4"/>
        </w:rPr>
        <w:t>全国大学英语四级以上(含四级)考试成绩不低于425分。(或</w:t>
      </w:r>
    </w:p>
    <w:p>
      <w:pPr>
        <w:spacing w:line="222" w:lineRule="auto"/>
        <w:sectPr>
          <w:footerReference w:type="default" r:id="rId2"/>
          <w:pgSz w:w="11900" w:h="16830"/>
          <w:pgMar w:top="1430" w:right="1214" w:bottom="1077" w:left="1480" w:header="0" w:footer="777" w:gutter="0"/>
        </w:sectPr>
        <w:rPr>
          <w:sz w:val="32"/>
          <w:szCs w:val="32"/>
        </w:rPr>
      </w:pPr>
    </w:p>
    <w:p>
      <w:pPr>
        <w:pStyle w:val="BodyText"/>
        <w:ind w:right="442"/>
        <w:spacing w:before="329" w:line="324" w:lineRule="auto"/>
        <w:jc w:val="both"/>
        <w:rPr>
          <w:sz w:val="32"/>
          <w:szCs w:val="32"/>
        </w:rPr>
      </w:pPr>
      <w:r>
        <w:rPr>
          <w:sz w:val="32"/>
          <w:szCs w:val="32"/>
          <w:spacing w:val="-9"/>
        </w:rPr>
        <w:t>托福80分及以上、雅思6.0及以上、日语</w:t>
      </w:r>
      <w:r>
        <w:rPr>
          <w:rFonts w:ascii="Times New Roman" w:hAnsi="Times New Roman" w:eastAsia="Times New Roman" w:cs="Times New Roman"/>
          <w:sz w:val="32"/>
          <w:szCs w:val="32"/>
          <w:spacing w:val="-9"/>
        </w:rPr>
        <w:t>N2</w:t>
      </w:r>
      <w:r>
        <w:rPr>
          <w:sz w:val="32"/>
          <w:szCs w:val="32"/>
          <w:spacing w:val="-9"/>
        </w:rPr>
        <w:t>及以上、俄语</w:t>
      </w:r>
      <w:r>
        <w:rPr>
          <w:rFonts w:ascii="Times New Roman" w:hAnsi="Times New Roman" w:eastAsia="Times New Roman" w:cs="Times New Roman"/>
          <w:sz w:val="32"/>
          <w:szCs w:val="32"/>
          <w:spacing w:val="-9"/>
        </w:rPr>
        <w:t>T       PKI-2</w:t>
      </w:r>
      <w:r>
        <w:rPr>
          <w:rFonts w:ascii="Times New Roman" w:hAnsi="Times New Roman" w:eastAsia="Times New Roman" w:cs="Times New Roman"/>
          <w:sz w:val="32"/>
          <w:szCs w:val="32"/>
          <w:spacing w:val="12"/>
        </w:rPr>
        <w:t xml:space="preserve"> </w:t>
      </w:r>
      <w:r>
        <w:rPr>
          <w:sz w:val="32"/>
          <w:szCs w:val="32"/>
          <w:spacing w:val="5"/>
        </w:rPr>
        <w:t>及以上),学习其他小语种的学生须有国家认可的相</w:t>
      </w:r>
      <w:r>
        <w:rPr>
          <w:sz w:val="32"/>
          <w:szCs w:val="32"/>
          <w:spacing w:val="4"/>
        </w:rPr>
        <w:t>当于上述水平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的考试合格证书。</w:t>
      </w:r>
    </w:p>
    <w:p>
      <w:pPr>
        <w:ind w:left="619"/>
        <w:spacing w:before="7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三</w:t>
      </w:r>
      <w:r>
        <w:rPr>
          <w:rFonts w:ascii="SimHei" w:hAnsi="SimHei" w:eastAsia="SimHei" w:cs="SimHei"/>
          <w:sz w:val="31"/>
          <w:szCs w:val="31"/>
          <w:spacing w:val="-7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、申请程序</w:t>
      </w:r>
    </w:p>
    <w:p>
      <w:pPr>
        <w:pStyle w:val="BodyText"/>
        <w:ind w:left="619"/>
        <w:spacing w:before="212" w:line="219" w:lineRule="auto"/>
        <w:rPr/>
      </w:pPr>
      <w:r>
        <w:rPr>
          <w:rFonts w:ascii="Times New Roman" w:hAnsi="Times New Roman" w:eastAsia="Times New Roman" w:cs="Times New Roman"/>
          <w:spacing w:val="13"/>
        </w:rPr>
        <w:t>1. </w:t>
      </w:r>
      <w:r>
        <w:rPr>
          <w:spacing w:val="13"/>
        </w:rPr>
        <w:t>考生申请。获得推免资格的考生在规定时间登录中国研究</w:t>
      </w:r>
    </w:p>
    <w:p>
      <w:pPr>
        <w:pStyle w:val="BodyText"/>
        <w:spacing w:before="162" w:line="286" w:lineRule="auto"/>
        <w:rPr/>
      </w:pPr>
      <w:r>
        <w:rPr>
          <w:spacing w:val="10"/>
        </w:rPr>
        <w:t>生招生信息网</w:t>
      </w:r>
      <w:r>
        <w:rPr>
          <w:spacing w:val="-31"/>
        </w:rPr>
        <w:t xml:space="preserve"> </w:t>
      </w:r>
      <w:r>
        <w:rPr>
          <w:spacing w:val="10"/>
        </w:rPr>
        <w:t>(</w:t>
      </w:r>
      <w:r>
        <w:rPr>
          <w:spacing w:val="-75"/>
        </w:rPr>
        <w:t xml:space="preserve"> </w:t>
      </w:r>
      <w:hyperlink w:history="true" r:id="rId4">
        <w:r>
          <w:rPr>
            <w:rFonts w:ascii="Times New Roman" w:hAnsi="Times New Roman" w:eastAsia="Times New Roman" w:cs="Times New Roman"/>
          </w:rPr>
          <w:t>https</w:t>
        </w:r>
        <w:r>
          <w:rPr>
            <w:rFonts w:ascii="Times New Roman" w:hAnsi="Times New Roman" w:eastAsia="Times New Roman" w:cs="Times New Roman"/>
            <w:spacing w:val="10"/>
          </w:rPr>
          <w:t>://</w:t>
        </w:r>
        <w:r>
          <w:rPr>
            <w:rFonts w:ascii="Times New Roman" w:hAnsi="Times New Roman" w:eastAsia="Times New Roman" w:cs="Times New Roman"/>
          </w:rPr>
          <w:t>yz</w:t>
        </w:r>
        <w:r>
          <w:rPr>
            <w:rFonts w:ascii="Times New Roman" w:hAnsi="Times New Roman" w:eastAsia="Times New Roman" w:cs="Times New Roman"/>
            <w:spacing w:val="10"/>
          </w:rPr>
          <w:t>.</w:t>
        </w:r>
        <w:r>
          <w:rPr>
            <w:rFonts w:ascii="Times New Roman" w:hAnsi="Times New Roman" w:eastAsia="Times New Roman" w:cs="Times New Roman"/>
          </w:rPr>
          <w:t>chsi</w:t>
        </w:r>
        <w:r>
          <w:rPr>
            <w:rFonts w:ascii="Times New Roman" w:hAnsi="Times New Roman" w:eastAsia="Times New Roman" w:cs="Times New Roman"/>
            <w:spacing w:val="10"/>
          </w:rPr>
          <w:t>.</w:t>
        </w:r>
        <w:r>
          <w:rPr>
            <w:rFonts w:ascii="Times New Roman" w:hAnsi="Times New Roman" w:eastAsia="Times New Roman" w:cs="Times New Roman"/>
          </w:rPr>
          <w:t>com</w:t>
        </w:r>
        <w:r>
          <w:rPr>
            <w:rFonts w:ascii="Times New Roman" w:hAnsi="Times New Roman" w:eastAsia="Times New Roman" w:cs="Times New Roman"/>
            <w:spacing w:val="10"/>
          </w:rPr>
          <w:t>.</w:t>
        </w:r>
        <w:r>
          <w:rPr>
            <w:rFonts w:ascii="Times New Roman" w:hAnsi="Times New Roman" w:eastAsia="Times New Roman" w:cs="Times New Roman"/>
          </w:rPr>
          <w:t>cn</w:t>
        </w:r>
        <w:r>
          <w:rPr>
            <w:rFonts w:ascii="Times New Roman" w:hAnsi="Times New Roman" w:eastAsia="Times New Roman" w:cs="Times New Roman"/>
            <w:spacing w:val="10"/>
          </w:rPr>
          <w:t>/</w:t>
        </w:r>
        <w:r>
          <w:rPr>
            <w:rFonts w:ascii="Times New Roman" w:hAnsi="Times New Roman" w:eastAsia="Times New Roman" w:cs="Times New Roman"/>
          </w:rPr>
          <w:t>tm</w:t>
        </w:r>
        <w:r>
          <w:rPr>
            <w:rFonts w:ascii="Times New Roman" w:hAnsi="Times New Roman" w:eastAsia="Times New Roman" w:cs="Times New Roman"/>
            <w:spacing w:val="10"/>
          </w:rPr>
          <w:t>/</w:t>
        </w:r>
      </w:hyperlink>
      <w:r>
        <w:rPr>
          <w:rFonts w:ascii="Times New Roman" w:hAnsi="Times New Roman" w:eastAsia="Times New Roman" w:cs="Times New Roman"/>
          <w:spacing w:val="10"/>
        </w:rPr>
        <w:t>)                “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10"/>
        </w:rPr>
        <w:t>推免服务</w:t>
      </w:r>
      <w:r>
        <w:rPr>
          <w:spacing w:val="9"/>
        </w:rPr>
        <w:t>系统”</w:t>
      </w:r>
      <w:r>
        <w:rPr/>
        <w:t xml:space="preserve"> </w:t>
      </w:r>
      <w:r>
        <w:rPr>
          <w:spacing w:val="14"/>
        </w:rPr>
        <w:t>注册、缴费并报考我校。</w:t>
      </w:r>
    </w:p>
    <w:p>
      <w:pPr>
        <w:pStyle w:val="BodyText"/>
        <w:ind w:right="440" w:firstLine="619"/>
        <w:spacing w:before="260" w:line="304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23"/>
        </w:rPr>
        <w:t>2.</w:t>
      </w:r>
      <w:r>
        <w:rPr>
          <w:rFonts w:ascii="Times New Roman" w:hAnsi="Times New Roman" w:eastAsia="Times New Roman" w:cs="Times New Roman"/>
          <w:sz w:val="30"/>
          <w:szCs w:val="30"/>
          <w:spacing w:val="60"/>
        </w:rPr>
        <w:t xml:space="preserve"> </w:t>
      </w:r>
      <w:r>
        <w:rPr>
          <w:sz w:val="30"/>
          <w:szCs w:val="30"/>
          <w:spacing w:val="23"/>
        </w:rPr>
        <w:t>资格审查。学校对推免生进行条件审核，择优确定参加复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35"/>
        </w:rPr>
        <w:t>试的推免生名单，并通知学生来校参加复试。考生须在24小时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30"/>
        </w:rPr>
        <w:t>内通过该系统回复是否参加我校复试。</w:t>
      </w:r>
    </w:p>
    <w:p>
      <w:pPr>
        <w:pStyle w:val="BodyText"/>
        <w:ind w:right="435" w:firstLine="619"/>
        <w:spacing w:before="246" w:line="293" w:lineRule="auto"/>
        <w:rPr/>
      </w:pPr>
      <w:r>
        <w:rPr>
          <w:rFonts w:ascii="Times New Roman" w:hAnsi="Times New Roman" w:eastAsia="Times New Roman" w:cs="Times New Roman"/>
          <w:spacing w:val="15"/>
        </w:rPr>
        <w:t>3. </w:t>
      </w:r>
      <w:r>
        <w:rPr>
          <w:spacing w:val="15"/>
        </w:rPr>
        <w:t>复试。申请人来校参加复试和体检，复试将对申请人进行</w:t>
      </w:r>
      <w:r>
        <w:rPr/>
        <w:t xml:space="preserve"> </w:t>
      </w:r>
      <w:r>
        <w:rPr>
          <w:spacing w:val="15"/>
        </w:rPr>
        <w:t>德智体全面衡量，综合评价，着重考核考生的科研创新潜力和学</w:t>
      </w:r>
      <w:r>
        <w:rPr>
          <w:spacing w:val="6"/>
        </w:rPr>
        <w:t xml:space="preserve"> </w:t>
      </w:r>
      <w:r>
        <w:rPr>
          <w:spacing w:val="14"/>
        </w:rPr>
        <w:t>科知识的综合应用能力。</w:t>
      </w:r>
    </w:p>
    <w:p>
      <w:pPr>
        <w:pStyle w:val="BodyText"/>
        <w:ind w:right="434" w:firstLine="619"/>
        <w:spacing w:before="246" w:line="308" w:lineRule="auto"/>
        <w:rPr/>
      </w:pPr>
      <w:r>
        <w:rPr>
          <w:rFonts w:ascii="Times New Roman" w:hAnsi="Times New Roman" w:eastAsia="Times New Roman" w:cs="Times New Roman"/>
          <w:spacing w:val="15"/>
        </w:rPr>
        <w:t>4. </w:t>
      </w:r>
      <w:r>
        <w:rPr>
          <w:spacing w:val="15"/>
        </w:rPr>
        <w:t>待录取通知确认。凡通过复试，被我校接收的考生，由学</w:t>
      </w:r>
      <w:r>
        <w:rPr>
          <w:spacing w:val="6"/>
        </w:rPr>
        <w:t xml:space="preserve"> </w:t>
      </w:r>
      <w:r>
        <w:rPr>
          <w:spacing w:val="26"/>
        </w:rPr>
        <w:t>校通过“推免服务系统”发布待录取通知，考生收到待录取通</w:t>
      </w:r>
      <w:r>
        <w:rPr>
          <w:spacing w:val="11"/>
        </w:rPr>
        <w:t xml:space="preserve"> </w:t>
      </w:r>
      <w:r>
        <w:rPr>
          <w:spacing w:val="14"/>
        </w:rPr>
        <w:t>知后，须在24小时内通过“推免服务系统”确认录取，否则视为</w:t>
      </w:r>
      <w:r>
        <w:rPr>
          <w:spacing w:val="18"/>
        </w:rPr>
        <w:t xml:space="preserve"> </w:t>
      </w:r>
      <w:r>
        <w:rPr>
          <w:spacing w:val="-4"/>
        </w:rPr>
        <w:t>放弃。</w:t>
      </w:r>
    </w:p>
    <w:p>
      <w:pPr>
        <w:ind w:left="619"/>
        <w:spacing w:before="245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1"/>
        </w:rPr>
        <w:t>四、材料提交与核验</w:t>
      </w:r>
    </w:p>
    <w:p>
      <w:pPr>
        <w:pStyle w:val="BodyText"/>
        <w:ind w:left="619"/>
        <w:spacing w:before="202" w:line="220" w:lineRule="auto"/>
        <w:rPr>
          <w:sz w:val="32"/>
          <w:szCs w:val="32"/>
        </w:rPr>
      </w:pPr>
      <w:r>
        <w:rPr>
          <w:sz w:val="32"/>
          <w:szCs w:val="32"/>
          <w:spacing w:val="14"/>
        </w:rPr>
        <w:t>推免生到我校复试报到时需交验以下材料：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right="430" w:firstLine="619"/>
        <w:spacing w:before="105" w:line="298" w:lineRule="auto"/>
        <w:rPr>
          <w:sz w:val="32"/>
          <w:szCs w:val="32"/>
        </w:rPr>
      </w:pPr>
      <w:r>
        <w:rPr>
          <w:sz w:val="32"/>
          <w:szCs w:val="32"/>
          <w:spacing w:val="5"/>
        </w:rPr>
        <w:t>1.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5"/>
        </w:rPr>
        <w:t>《长春中医药大学接收推荐免试攻读硕士学位研究生</w:t>
      </w:r>
      <w:r>
        <w:rPr>
          <w:sz w:val="32"/>
          <w:szCs w:val="32"/>
          <w:spacing w:val="4"/>
        </w:rPr>
        <w:t>(含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1"/>
        </w:rPr>
        <w:t>直博生)申请表》或《长春中医药大学接收推荐免试攻读硕士学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2"/>
        </w:rPr>
        <w:t>位研究生申请表</w:t>
      </w:r>
      <w:r>
        <w:rPr>
          <w:sz w:val="32"/>
          <w:szCs w:val="32"/>
          <w:spacing w:val="-27"/>
        </w:rPr>
        <w:t xml:space="preserve"> </w:t>
      </w:r>
      <w:r>
        <w:rPr>
          <w:sz w:val="32"/>
          <w:szCs w:val="32"/>
          <w:spacing w:val="12"/>
        </w:rPr>
        <w:t>(</w:t>
      </w:r>
      <w:r>
        <w:rPr>
          <w:sz w:val="32"/>
          <w:szCs w:val="32"/>
          <w:spacing w:val="-7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12"/>
        </w:rPr>
        <w:t>A4</w:t>
      </w:r>
      <w:r>
        <w:rPr>
          <w:sz w:val="32"/>
          <w:szCs w:val="32"/>
          <w:spacing w:val="12"/>
        </w:rPr>
        <w:t>纸张双面打印),须由</w:t>
      </w:r>
      <w:r>
        <w:rPr>
          <w:sz w:val="32"/>
          <w:szCs w:val="32"/>
          <w:spacing w:val="11"/>
        </w:rPr>
        <w:t>推荐院校教务部门加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0"/>
        </w:rPr>
        <w:t>盖公章。</w:t>
      </w:r>
    </w:p>
    <w:p>
      <w:pPr>
        <w:pStyle w:val="BodyText"/>
        <w:ind w:left="599"/>
        <w:spacing w:before="242" w:line="22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4"/>
        </w:rPr>
        <w:t>2. </w:t>
      </w:r>
      <w:r>
        <w:rPr>
          <w:sz w:val="32"/>
          <w:szCs w:val="32"/>
          <w:spacing w:val="14"/>
        </w:rPr>
        <w:t>身份证、学生证、外国语水平等级证书原件及复印件。</w:t>
      </w:r>
    </w:p>
    <w:p>
      <w:pPr>
        <w:spacing w:line="222" w:lineRule="auto"/>
        <w:sectPr>
          <w:footerReference w:type="default" r:id="rId3"/>
          <w:pgSz w:w="11900" w:h="16830"/>
          <w:pgMar w:top="1430" w:right="907" w:bottom="1078" w:left="1450" w:header="0" w:footer="793" w:gutter="0"/>
        </w:sectPr>
        <w:rPr>
          <w:sz w:val="32"/>
          <w:szCs w:val="32"/>
        </w:rPr>
      </w:pPr>
    </w:p>
    <w:p>
      <w:pPr>
        <w:pStyle w:val="BodyText"/>
        <w:ind w:right="156" w:firstLine="629"/>
        <w:spacing w:before="304" w:line="229" w:lineRule="auto"/>
        <w:rPr/>
      </w:pPr>
      <w:r>
        <w:rPr>
          <w:rFonts w:ascii="Times New Roman" w:hAnsi="Times New Roman" w:eastAsia="Times New Roman" w:cs="Times New Roman"/>
          <w:spacing w:val="19"/>
        </w:rPr>
        <w:t>3. </w:t>
      </w:r>
      <w:r>
        <w:rPr>
          <w:spacing w:val="19"/>
        </w:rPr>
        <w:t>本科学习成绩单，要求加盖所在院校教务处公章(红章原</w:t>
      </w:r>
      <w:r>
        <w:rPr>
          <w:spacing w:val="5"/>
        </w:rPr>
        <w:t xml:space="preserve"> </w:t>
      </w:r>
      <w:r>
        <w:rPr>
          <w:spacing w:val="1"/>
        </w:rPr>
        <w:t>件)。</w:t>
      </w:r>
    </w:p>
    <w:p>
      <w:pPr>
        <w:pStyle w:val="BodyText"/>
        <w:ind w:right="217" w:firstLine="629"/>
        <w:spacing w:before="232" w:line="281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58"/>
        </w:rPr>
        <w:t>4.</w:t>
      </w:r>
      <w:r>
        <w:rPr>
          <w:rFonts w:ascii="Times New Roman" w:hAnsi="Times New Roman" w:eastAsia="Times New Roman" w:cs="Times New Roman"/>
          <w:sz w:val="30"/>
          <w:szCs w:val="30"/>
          <w:spacing w:val="89"/>
        </w:rPr>
        <w:t xml:space="preserve"> </w:t>
      </w:r>
      <w:r>
        <w:rPr>
          <w:sz w:val="30"/>
          <w:szCs w:val="30"/>
          <w:spacing w:val="58"/>
        </w:rPr>
        <w:t>在校期间发表的论文或其它研究成果的奖励证书原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1"/>
        </w:rPr>
        <w:t>件及复印件。</w:t>
      </w:r>
    </w:p>
    <w:p>
      <w:pPr>
        <w:pStyle w:val="BodyText"/>
        <w:ind w:right="228" w:firstLine="629"/>
        <w:spacing w:before="229" w:line="27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26"/>
        </w:rPr>
        <w:t>5.</w:t>
      </w:r>
      <w:r>
        <w:rPr>
          <w:rFonts w:ascii="Times New Roman" w:hAnsi="Times New Roman" w:eastAsia="Times New Roman" w:cs="Times New Roman"/>
          <w:sz w:val="32"/>
          <w:szCs w:val="32"/>
          <w:spacing w:val="40"/>
        </w:rPr>
        <w:t xml:space="preserve"> </w:t>
      </w:r>
      <w:r>
        <w:rPr>
          <w:sz w:val="32"/>
          <w:szCs w:val="32"/>
          <w:spacing w:val="26"/>
        </w:rPr>
        <w:t>由推荐院校学生管理部门出具的思想政治表现鉴定材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21"/>
        </w:rPr>
        <w:t>料(政审表),须加盖推荐院校学生管理部门公章。</w:t>
      </w:r>
    </w:p>
    <w:p>
      <w:pPr>
        <w:pStyle w:val="BodyText"/>
        <w:ind w:left="629"/>
        <w:spacing w:before="188" w:line="220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8"/>
        </w:rPr>
        <w:t>6. </w:t>
      </w:r>
      <w:r>
        <w:rPr>
          <w:sz w:val="32"/>
          <w:szCs w:val="32"/>
          <w:spacing w:val="18"/>
        </w:rPr>
        <w:t>博士期间学习计划(申请直博生需提供)。</w:t>
      </w:r>
    </w:p>
    <w:p>
      <w:pPr>
        <w:pStyle w:val="BodyText"/>
        <w:ind w:left="89" w:right="114" w:firstLine="659"/>
        <w:spacing w:before="238" w:line="313" w:lineRule="auto"/>
        <w:rPr>
          <w:rFonts w:ascii="Times New Roman" w:hAnsi="Times New Roman" w:eastAsia="Times New Roman" w:cs="Times New Roman"/>
        </w:rPr>
      </w:pPr>
      <w:r>
        <w:rPr>
          <w:spacing w:val="11"/>
        </w:rPr>
        <w:t>申请表和政审表可在我校研究生院网页“招生工作”下载，</w:t>
      </w:r>
      <w:r>
        <w:rPr>
          <w:spacing w:val="18"/>
        </w:rPr>
        <w:t xml:space="preserve"> </w:t>
      </w:r>
      <w:r>
        <w:rPr>
          <w:spacing w:val="1"/>
        </w:rPr>
        <w:t>网址为</w:t>
      </w:r>
      <w:hyperlink w:history="true" r:id="rId6">
        <w:r>
          <w:rPr>
            <w:rFonts w:ascii="Times New Roman" w:hAnsi="Times New Roman" w:eastAsia="Times New Roman" w:cs="Times New Roman"/>
          </w:rPr>
          <w:t>https</w:t>
        </w:r>
        <w:r>
          <w:rPr>
            <w:rFonts w:ascii="Times New Roman" w:hAnsi="Times New Roman" w:eastAsia="Times New Roman" w:cs="Times New Roman"/>
            <w:spacing w:val="1"/>
          </w:rPr>
          <w:t>://y.</w:t>
        </w:r>
        <w:r>
          <w:rPr>
            <w:rFonts w:ascii="Times New Roman" w:hAnsi="Times New Roman" w:eastAsia="Times New Roman" w:cs="Times New Roman"/>
          </w:rPr>
          <w:t>ccucm</w:t>
        </w:r>
        <w:r>
          <w:rPr>
            <w:rFonts w:ascii="Times New Roman" w:hAnsi="Times New Roman" w:eastAsia="Times New Roman" w:cs="Times New Roman"/>
            <w:spacing w:val="1"/>
          </w:rPr>
          <w:t>.</w:t>
        </w:r>
        <w:r>
          <w:rPr>
            <w:rFonts w:ascii="Times New Roman" w:hAnsi="Times New Roman" w:eastAsia="Times New Roman" w:cs="Times New Roman"/>
          </w:rPr>
          <w:t>edu</w:t>
        </w:r>
        <w:r>
          <w:rPr>
            <w:rFonts w:ascii="Times New Roman" w:hAnsi="Times New Roman" w:eastAsia="Times New Roman" w:cs="Times New Roman"/>
            <w:spacing w:val="1"/>
          </w:rPr>
          <w:t>.</w:t>
        </w:r>
        <w:r>
          <w:rPr>
            <w:rFonts w:ascii="Times New Roman" w:hAnsi="Times New Roman" w:eastAsia="Times New Roman" w:cs="Times New Roman"/>
          </w:rPr>
          <w:t>cn</w:t>
        </w:r>
        <w:r>
          <w:rPr>
            <w:rFonts w:ascii="Times New Roman" w:hAnsi="Times New Roman" w:eastAsia="Times New Roman" w:cs="Times New Roman"/>
            <w:spacing w:val="1"/>
          </w:rPr>
          <w:t>/</w:t>
        </w:r>
        <w:r>
          <w:rPr>
            <w:rFonts w:ascii="Times New Roman" w:hAnsi="Times New Roman" w:eastAsia="Times New Roman" w:cs="Times New Roman"/>
          </w:rPr>
          <w:t>zsgz</w:t>
        </w:r>
        <w:r>
          <w:rPr>
            <w:rFonts w:ascii="Times New Roman" w:hAnsi="Times New Roman" w:eastAsia="Times New Roman" w:cs="Times New Roman"/>
            <w:spacing w:val="1"/>
          </w:rPr>
          <w:t>/</w:t>
        </w:r>
        <w:r>
          <w:rPr>
            <w:rFonts w:ascii="Times New Roman" w:hAnsi="Times New Roman" w:eastAsia="Times New Roman" w:cs="Times New Roman"/>
          </w:rPr>
          <w:t>wjxz</w:t>
        </w:r>
        <w:r>
          <w:rPr>
            <w:rFonts w:ascii="Times New Roman" w:hAnsi="Times New Roman" w:eastAsia="Times New Roman" w:cs="Times New Roman"/>
            <w:spacing w:val="1"/>
          </w:rPr>
          <w:t>.</w:t>
        </w:r>
        <w:r>
          <w:rPr>
            <w:rFonts w:ascii="Times New Roman" w:hAnsi="Times New Roman" w:eastAsia="Times New Roman" w:cs="Times New Roman"/>
          </w:rPr>
          <w:t>htm</w:t>
        </w:r>
      </w:hyperlink>
    </w:p>
    <w:p>
      <w:pPr>
        <w:pStyle w:val="BodyText"/>
        <w:ind w:firstLine="729"/>
        <w:spacing w:before="109" w:line="332" w:lineRule="auto"/>
        <w:rPr>
          <w:sz w:val="30"/>
          <w:szCs w:val="30"/>
        </w:rPr>
      </w:pPr>
      <w:r>
        <w:rPr>
          <w:sz w:val="30"/>
          <w:szCs w:val="30"/>
          <w:spacing w:val="12"/>
        </w:rPr>
        <w:t>申请人应保证全部材料的真实性和准确性，</w:t>
      </w:r>
      <w:r>
        <w:rPr>
          <w:sz w:val="30"/>
          <w:szCs w:val="30"/>
          <w:spacing w:val="125"/>
        </w:rPr>
        <w:t xml:space="preserve"> </w:t>
      </w:r>
      <w:r>
        <w:rPr>
          <w:sz w:val="30"/>
          <w:szCs w:val="30"/>
          <w:spacing w:val="12"/>
        </w:rPr>
        <w:t>一经发现申请人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9"/>
        </w:rPr>
        <w:t>提交的材料内容不真实或不准确，我校将取消申请人录取资格。</w:t>
      </w:r>
    </w:p>
    <w:p>
      <w:pPr>
        <w:ind w:left="629"/>
        <w:spacing w:before="44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6"/>
        </w:rPr>
        <w:t>五、复试录取</w:t>
      </w:r>
    </w:p>
    <w:p>
      <w:pPr>
        <w:pStyle w:val="BodyText"/>
        <w:ind w:right="189" w:firstLine="629"/>
        <w:spacing w:before="207" w:line="334" w:lineRule="auto"/>
        <w:jc w:val="both"/>
        <w:rPr/>
      </w:pPr>
      <w:r>
        <w:rPr>
          <w:spacing w:val="12"/>
        </w:rPr>
        <w:t>复试考察学生德、智、体、美、劳等多方面的综合素质，着</w:t>
      </w:r>
      <w:r>
        <w:rPr>
          <w:spacing w:val="4"/>
        </w:rPr>
        <w:t xml:space="preserve"> </w:t>
      </w:r>
      <w:r>
        <w:rPr>
          <w:spacing w:val="25"/>
        </w:rPr>
        <w:t>重考察学生科研素养和创新潜力，对学科的认识</w:t>
      </w:r>
      <w:r>
        <w:rPr>
          <w:spacing w:val="24"/>
        </w:rPr>
        <w:t>、学科知识的</w:t>
      </w:r>
      <w:r>
        <w:rPr/>
        <w:t xml:space="preserve"> </w:t>
      </w:r>
      <w:r>
        <w:rPr>
          <w:spacing w:val="9"/>
        </w:rPr>
        <w:t>综合应用能力等。</w:t>
      </w:r>
    </w:p>
    <w:p>
      <w:pPr>
        <w:pStyle w:val="BodyText"/>
        <w:ind w:right="193" w:firstLine="629"/>
        <w:spacing w:before="48" w:line="28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2"/>
        </w:rPr>
        <w:t>1. </w:t>
      </w:r>
      <w:r>
        <w:rPr>
          <w:sz w:val="32"/>
          <w:szCs w:val="32"/>
          <w:spacing w:val="2"/>
        </w:rPr>
        <w:t>复试采用笔试与面试相结合的方式进行。面试时间不少于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2"/>
        </w:rPr>
        <w:t>20分钟，全程录音录像，现场记录评分。各学院将根据申请学生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8"/>
        </w:rPr>
        <w:t>情况遴选，发送复试通知。</w:t>
      </w:r>
    </w:p>
    <w:p>
      <w:pPr>
        <w:pStyle w:val="BodyText"/>
        <w:ind w:right="108" w:firstLine="629"/>
        <w:spacing w:before="232" w:line="29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8"/>
        </w:rPr>
        <w:t>2. </w:t>
      </w:r>
      <w:r>
        <w:rPr>
          <w:sz w:val="32"/>
          <w:szCs w:val="32"/>
          <w:spacing w:val="18"/>
        </w:rPr>
        <w:t>录取。凡通过复试并在“推免服务系统”确认录取的考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15"/>
        </w:rPr>
        <w:t>生，经学校“推免生”工作领导小组审核，确定拟接收名单并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15"/>
        </w:rPr>
        <w:t>在学校研究生院网站公示，公示时间不少于7个工作日。</w:t>
      </w:r>
    </w:p>
    <w:p>
      <w:pPr>
        <w:ind w:left="629"/>
        <w:spacing w:before="225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7"/>
        </w:rPr>
        <w:t>六、奖助政策</w:t>
      </w:r>
    </w:p>
    <w:p>
      <w:pPr>
        <w:pStyle w:val="BodyText"/>
        <w:ind w:right="197" w:firstLine="629"/>
        <w:spacing w:before="73" w:line="276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1. </w:t>
      </w:r>
      <w:r>
        <w:rPr>
          <w:sz w:val="32"/>
          <w:szCs w:val="32"/>
          <w:spacing w:val="3"/>
        </w:rPr>
        <w:t>学校设有国家助学金、国家奖学金、学业奖学金等</w:t>
      </w:r>
      <w:r>
        <w:rPr>
          <w:sz w:val="32"/>
          <w:szCs w:val="32"/>
          <w:spacing w:val="2"/>
        </w:rPr>
        <w:t>各级各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2"/>
        </w:rPr>
        <w:t>类奖助学金。</w:t>
      </w:r>
    </w:p>
    <w:p>
      <w:pPr>
        <w:pStyle w:val="BodyText"/>
        <w:ind w:left="609"/>
        <w:spacing w:before="212" w:line="22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2. </w:t>
      </w:r>
      <w:r>
        <w:rPr>
          <w:sz w:val="32"/>
          <w:szCs w:val="32"/>
          <w:spacing w:val="4"/>
        </w:rPr>
        <w:t>学校根据实际需要设立助研、助教和助管岗位，按岗位工</w:t>
      </w:r>
    </w:p>
    <w:p>
      <w:pPr>
        <w:spacing w:line="221" w:lineRule="auto"/>
        <w:sectPr>
          <w:footerReference w:type="default" r:id="rId5"/>
          <w:pgSz w:w="11900" w:h="16830"/>
          <w:pgMar w:top="1430" w:right="1230" w:bottom="1089" w:left="1440" w:header="0" w:footer="801" w:gutter="0"/>
        </w:sectPr>
        <w:rPr>
          <w:sz w:val="32"/>
          <w:szCs w:val="32"/>
        </w:rPr>
      </w:pPr>
    </w:p>
    <w:p>
      <w:pPr>
        <w:pStyle w:val="BodyText"/>
        <w:spacing w:before="276" w:line="220" w:lineRule="auto"/>
        <w:rPr>
          <w:sz w:val="32"/>
          <w:szCs w:val="32"/>
        </w:rPr>
      </w:pPr>
      <w:r>
        <w:rPr>
          <w:sz w:val="32"/>
          <w:szCs w:val="32"/>
          <w:spacing w:val="-5"/>
        </w:rPr>
        <w:t>作发放津贴。</w:t>
      </w:r>
    </w:p>
    <w:p>
      <w:pPr>
        <w:ind w:left="700"/>
        <w:spacing w:before="222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1"/>
        </w:rPr>
        <w:t>七、其他事项</w:t>
      </w:r>
    </w:p>
    <w:p>
      <w:pPr>
        <w:pStyle w:val="BodyText"/>
        <w:ind w:left="750"/>
        <w:spacing w:before="217" w:line="222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8"/>
        </w:rPr>
        <w:t>1.</w:t>
      </w:r>
      <w:r>
        <w:rPr>
          <w:sz w:val="32"/>
          <w:szCs w:val="32"/>
          <w:spacing w:val="8"/>
        </w:rPr>
        <w:t>已被接收的推荐免试生不得再参加统考。</w:t>
      </w:r>
    </w:p>
    <w:p>
      <w:pPr>
        <w:pStyle w:val="BodyText"/>
        <w:ind w:left="100" w:right="11" w:firstLine="599"/>
        <w:spacing w:before="210" w:line="267" w:lineRule="auto"/>
        <w:rPr/>
      </w:pPr>
      <w:r>
        <w:rPr>
          <w:rFonts w:ascii="Times New Roman" w:hAnsi="Times New Roman" w:eastAsia="Times New Roman" w:cs="Times New Roman"/>
          <w:spacing w:val="41"/>
        </w:rPr>
        <w:t>2. </w:t>
      </w:r>
      <w:r>
        <w:rPr>
          <w:spacing w:val="41"/>
        </w:rPr>
        <w:t>本科毕业未获得毕业证书、学士学位证书者取消入</w:t>
      </w:r>
      <w:r>
        <w:rPr>
          <w:spacing w:val="2"/>
        </w:rPr>
        <w:t xml:space="preserve"> </w:t>
      </w:r>
      <w:r>
        <w:rPr>
          <w:spacing w:val="3"/>
        </w:rPr>
        <w:t>学资格。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80" w:right="6" w:firstLine="619"/>
        <w:spacing w:before="104" w:line="265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6"/>
        </w:rPr>
        <w:t>3. </w:t>
      </w:r>
      <w:r>
        <w:rPr>
          <w:sz w:val="32"/>
          <w:szCs w:val="32"/>
          <w:spacing w:val="6"/>
        </w:rPr>
        <w:t>本方案自发布之日起施行，由学校“推免生”工作领导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3"/>
        </w:rPr>
        <w:t>小组办公室负责解释。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spacing w:before="104" w:line="220" w:lineRule="auto"/>
        <w:jc w:val="right"/>
        <w:rPr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3403598</wp:posOffset>
            </wp:positionH>
            <wp:positionV relativeFrom="paragraph">
              <wp:posOffset>214457</wp:posOffset>
            </wp:positionV>
            <wp:extent cx="1498605" cy="147951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47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  <w:spacing w:val="6"/>
        </w:rPr>
        <w:t>长春中医药大学“推免生”工作领导小组办公室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left="4290"/>
        <w:spacing w:before="105" w:line="222" w:lineRule="auto"/>
        <w:rPr>
          <w:sz w:val="32"/>
          <w:szCs w:val="32"/>
        </w:rPr>
      </w:pPr>
      <w:r>
        <w:rPr>
          <w:sz w:val="32"/>
          <w:szCs w:val="32"/>
          <w:spacing w:val="16"/>
        </w:rPr>
        <w:t>(研究生院代章)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4469"/>
        <w:spacing w:before="104" w:line="222" w:lineRule="auto"/>
        <w:rPr>
          <w:sz w:val="32"/>
          <w:szCs w:val="32"/>
        </w:rPr>
      </w:pPr>
      <w:r>
        <w:rPr>
          <w:sz w:val="32"/>
          <w:szCs w:val="32"/>
          <w:spacing w:val="4"/>
        </w:rPr>
        <w:t>2025年9月4日</w:t>
      </w:r>
    </w:p>
    <w:sectPr>
      <w:footerReference w:type="default" r:id="rId7"/>
      <w:pgSz w:w="11900" w:h="16830"/>
      <w:pgMar w:top="1430" w:right="1459" w:bottom="1120" w:left="1569" w:header="0" w:footer="84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0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70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0"/>
      <w:spacing w:line="232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60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—5—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1.png"/><Relationship Id="rId7" Type="http://schemas.openxmlformats.org/officeDocument/2006/relationships/footer" Target="footer5.xml"/><Relationship Id="rId6" Type="http://schemas.openxmlformats.org/officeDocument/2006/relationships/hyperlink" Target="https://y.ccucm.edu.cn/zsgz/wjxz.htm" TargetMode="External"/><Relationship Id="rId5" Type="http://schemas.openxmlformats.org/officeDocument/2006/relationships/footer" Target="footer4.xml"/><Relationship Id="rId4" Type="http://schemas.openxmlformats.org/officeDocument/2006/relationships/hyperlink" Target="https://yz.chsi.com.cn/tm/" TargetMode="Externa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2026-09-11T17:19:55Z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2026-09-11T17:19:55</vt:filetime>
  </property>
  <property fmtid="{D5CDD505-2E9C-101B-9397-08002B2CF9AE}" pid="4" name="UsrData">
    <vt:lpwstr>6aa3c7b8c79af0001f898935wl</vt:lpwstr>
  </property>
</Properties>
</file>