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江汉大学商学院推荐优秀应届本科毕业生免试攻读硕士学位研究生工作实施细则</w:t>
      </w:r>
    </w:p>
    <w:p>
      <w:pPr>
        <w:spacing w:after="80" w:line="360" w:lineRule="auto"/>
        <w:ind w:firstLine="482"/>
        <w:jc w:val="both"/>
      </w:pPr>
      <w:r>
        <w:rPr>
          <w:rFonts w:ascii="Times New Roman" w:hAnsi="Times New Roman" w:eastAsia="宋体"/>
          <w:sz w:val="24"/>
        </w:rPr>
        <w:t>江汉大学商学院推荐优秀应届本科毕业生免试攻读硕士学位研究生工作实施细则</w:t>
      </w:r>
    </w:p>
    <w:p>
      <w:pPr>
        <w:spacing w:after="80" w:line="360" w:lineRule="auto"/>
        <w:ind w:firstLine="482"/>
        <w:jc w:val="both"/>
      </w:pPr>
      <w:r>
        <w:rPr>
          <w:rFonts w:ascii="Times New Roman" w:hAnsi="Times New Roman" w:eastAsia="宋体"/>
          <w:sz w:val="24"/>
        </w:rPr>
        <w:t>发布者：常芬发布时间：2025-09-06浏览次数：120</w:t>
      </w:r>
    </w:p>
    <w:p>
      <w:pPr>
        <w:spacing w:after="80" w:line="360" w:lineRule="auto"/>
        <w:ind w:firstLine="482"/>
        <w:jc w:val="both"/>
      </w:pPr>
      <w:r>
        <w:rPr>
          <w:rFonts w:ascii="Times New Roman" w:hAnsi="Times New Roman" w:eastAsia="宋体"/>
          <w:sz w:val="24"/>
        </w:rPr>
        <w:t>为规范推荐优秀应届本科毕业生免试攻读硕士学位研究生（以下简称“推免”）工作，保障推免过程公平、公正、公开，充分发挥推免政策的引导和激励作用，商学院根据《江汉大学推荐优秀应届本科毕业生免试攻读硕士学位研究生工作管理办法（试行）》文件精神，结合学院本科专业培养定位与学科特色，制定本实施细则。</w:t>
      </w:r>
    </w:p>
    <w:p>
      <w:pPr>
        <w:spacing w:before="160" w:after="80" w:line="360" w:lineRule="auto"/>
      </w:pPr>
      <w:r>
        <w:rPr>
          <w:rFonts w:ascii="Times New Roman" w:hAnsi="Times New Roman" w:eastAsia="宋体"/>
          <w:b/>
          <w:sz w:val="28"/>
        </w:rPr>
        <w:t>一、学院推免工作组织机构</w:t>
      </w:r>
    </w:p>
    <w:p>
      <w:pPr>
        <w:spacing w:after="80" w:line="360" w:lineRule="auto"/>
        <w:ind w:firstLine="482"/>
        <w:jc w:val="both"/>
      </w:pPr>
      <w:r>
        <w:rPr>
          <w:rFonts w:ascii="Times New Roman" w:hAnsi="Times New Roman" w:eastAsia="宋体"/>
          <w:sz w:val="24"/>
        </w:rPr>
        <w:t>学院成立推免工作领导小组和专家审核小组，负责组织和实施学生推免遴选和学生学术、竞赛成果鉴定工作。</w:t>
      </w:r>
    </w:p>
    <w:p>
      <w:pPr>
        <w:spacing w:after="80" w:line="360" w:lineRule="auto"/>
        <w:ind w:firstLine="482"/>
        <w:jc w:val="both"/>
      </w:pPr>
      <w:r>
        <w:rPr>
          <w:rFonts w:ascii="Times New Roman" w:hAnsi="Times New Roman" w:eastAsia="宋体"/>
          <w:sz w:val="24"/>
        </w:rPr>
        <w:t>（一）推免工作领导小组</w:t>
      </w:r>
    </w:p>
    <w:p>
      <w:pPr>
        <w:spacing w:after="80" w:line="360" w:lineRule="auto"/>
        <w:ind w:firstLine="482"/>
        <w:jc w:val="both"/>
      </w:pPr>
      <w:r>
        <w:rPr>
          <w:rFonts w:ascii="Times New Roman" w:hAnsi="Times New Roman" w:eastAsia="宋体"/>
          <w:sz w:val="24"/>
        </w:rPr>
        <w:t>组长：张捍萍、黄其新</w:t>
      </w:r>
    </w:p>
    <w:p>
      <w:pPr>
        <w:spacing w:after="80" w:line="360" w:lineRule="auto"/>
        <w:ind w:firstLine="482"/>
        <w:jc w:val="both"/>
      </w:pPr>
      <w:r>
        <w:rPr>
          <w:rFonts w:ascii="Times New Roman" w:hAnsi="Times New Roman" w:eastAsia="宋体"/>
          <w:sz w:val="24"/>
        </w:rPr>
        <w:t>副组长：汪朝阳、王超、陈星光、程杰贤</w:t>
      </w:r>
    </w:p>
    <w:p>
      <w:pPr>
        <w:spacing w:after="80" w:line="360" w:lineRule="auto"/>
        <w:ind w:firstLine="482"/>
        <w:jc w:val="both"/>
      </w:pPr>
      <w:r>
        <w:rPr>
          <w:rFonts w:ascii="Times New Roman" w:hAnsi="Times New Roman" w:eastAsia="宋体"/>
          <w:sz w:val="24"/>
        </w:rPr>
        <w:t>成员：邹蔚、肖华东、李燕、张璐、刘勋、常芬、何珺</w:t>
      </w:r>
    </w:p>
    <w:p>
      <w:pPr>
        <w:spacing w:after="80" w:line="360" w:lineRule="auto"/>
        <w:ind w:firstLine="482"/>
        <w:jc w:val="both"/>
      </w:pPr>
      <w:r>
        <w:rPr>
          <w:rFonts w:ascii="Times New Roman" w:hAnsi="Times New Roman" w:eastAsia="宋体"/>
          <w:sz w:val="24"/>
        </w:rPr>
        <w:t>职责包括：制定学院推免工作实施细则并报学校备案、分配推免名额、组织开展遴选工作、确定初选名单与候补名单、受理学生申诉与投诉、监督推免全流程等事宜。</w:t>
      </w:r>
    </w:p>
    <w:p>
      <w:pPr>
        <w:spacing w:after="80" w:line="360" w:lineRule="auto"/>
        <w:ind w:firstLine="482"/>
        <w:jc w:val="both"/>
      </w:pPr>
      <w:r>
        <w:rPr>
          <w:rFonts w:ascii="Times New Roman" w:hAnsi="Times New Roman" w:eastAsia="宋体"/>
          <w:sz w:val="24"/>
        </w:rPr>
        <w:t>（二）专家审核小组</w:t>
      </w:r>
    </w:p>
    <w:p>
      <w:pPr>
        <w:spacing w:after="80" w:line="360" w:lineRule="auto"/>
        <w:ind w:firstLine="482"/>
        <w:jc w:val="both"/>
      </w:pPr>
      <w:r>
        <w:rPr>
          <w:rFonts w:ascii="Times New Roman" w:hAnsi="Times New Roman" w:eastAsia="宋体"/>
          <w:sz w:val="24"/>
        </w:rPr>
        <w:t>组长：黄其新</w:t>
      </w:r>
    </w:p>
    <w:p>
      <w:pPr>
        <w:spacing w:after="80" w:line="360" w:lineRule="auto"/>
        <w:ind w:firstLine="482"/>
        <w:jc w:val="both"/>
      </w:pPr>
      <w:r>
        <w:rPr>
          <w:rFonts w:ascii="Times New Roman" w:hAnsi="Times New Roman" w:eastAsia="宋体"/>
          <w:sz w:val="24"/>
        </w:rPr>
        <w:t>成员：邹蔚、杨波、刘兰、万凤娇、王琼、程杰贤、邓国华、刘勋</w:t>
      </w:r>
    </w:p>
    <w:p>
      <w:pPr>
        <w:spacing w:after="80" w:line="360" w:lineRule="auto"/>
        <w:ind w:firstLine="482"/>
        <w:jc w:val="both"/>
      </w:pPr>
      <w:r>
        <w:rPr>
          <w:rFonts w:ascii="Times New Roman" w:hAnsi="Times New Roman" w:eastAsia="宋体"/>
          <w:sz w:val="24"/>
        </w:rPr>
        <w:t>职责包括：审核学生科研论文，核对期刊等级、作者排序及内容相关性；审核学生竞赛获奖，核对奖项等级、团队排名、与专业的关联性，及其他科研创新成果证明材料，排除抄袭、造假、冒名及有名无实等情况，给出明确审核意见并签字存档。</w:t>
      </w:r>
    </w:p>
    <w:p>
      <w:pPr>
        <w:spacing w:after="80" w:line="360" w:lineRule="auto"/>
        <w:ind w:firstLine="482"/>
        <w:jc w:val="both"/>
      </w:pPr>
      <w:r>
        <w:rPr>
          <w:rFonts w:ascii="Times New Roman" w:hAnsi="Times New Roman" w:eastAsia="宋体"/>
          <w:sz w:val="24"/>
        </w:rPr>
        <w:t>学院推免工作领导小组办公室设在学院办公室，由教学办公室主任负责公示发布、流程对接、成绩核对等事务；由学生办公室主任负责推免材料收集。</w:t>
      </w:r>
    </w:p>
    <w:p>
      <w:pPr>
        <w:spacing w:before="160" w:after="80" w:line="360" w:lineRule="auto"/>
      </w:pPr>
      <w:r>
        <w:rPr>
          <w:rFonts w:ascii="Times New Roman" w:hAnsi="Times New Roman" w:eastAsia="宋体"/>
          <w:b/>
          <w:sz w:val="28"/>
        </w:rPr>
        <w:t>二、推免对象及名额分配</w:t>
      </w:r>
    </w:p>
    <w:p>
      <w:pPr>
        <w:spacing w:after="80" w:line="360" w:lineRule="auto"/>
        <w:ind w:firstLine="482"/>
        <w:jc w:val="both"/>
      </w:pPr>
      <w:r>
        <w:rPr>
          <w:rFonts w:ascii="Times New Roman" w:hAnsi="Times New Roman" w:eastAsia="宋体"/>
          <w:sz w:val="24"/>
        </w:rPr>
        <w:t>（一）推免对象</w:t>
      </w:r>
    </w:p>
    <w:p>
      <w:pPr>
        <w:spacing w:after="80" w:line="360" w:lineRule="auto"/>
        <w:ind w:firstLine="482"/>
        <w:jc w:val="both"/>
      </w:pPr>
      <w:r>
        <w:rPr>
          <w:rFonts w:ascii="Times New Roman" w:hAnsi="Times New Roman" w:eastAsia="宋体"/>
          <w:sz w:val="24"/>
        </w:rPr>
        <w:t>本细则适用对象为商学院各专业根据国家普通本科招生计划录取的全日制2026届本科毕业生（不含专升本、第二学士学位）。</w:t>
      </w:r>
    </w:p>
    <w:p>
      <w:pPr>
        <w:spacing w:after="80" w:line="360" w:lineRule="auto"/>
        <w:ind w:firstLine="482"/>
        <w:jc w:val="both"/>
      </w:pPr>
      <w:r>
        <w:rPr>
          <w:rFonts w:ascii="Times New Roman" w:hAnsi="Times New Roman" w:eastAsia="宋体"/>
          <w:sz w:val="24"/>
        </w:rPr>
        <w:t>（二）名额分配</w:t>
      </w:r>
    </w:p>
    <w:p>
      <w:pPr>
        <w:spacing w:after="80" w:line="360" w:lineRule="auto"/>
        <w:ind w:firstLine="482"/>
        <w:jc w:val="both"/>
      </w:pPr>
      <w:r>
        <w:rPr>
          <w:rFonts w:ascii="Times New Roman" w:hAnsi="Times New Roman" w:eastAsia="宋体"/>
          <w:sz w:val="24"/>
        </w:rPr>
        <w:t>学院推免名额以学校下达的名额数为准，按照学生总数120%产生推免候选人名额（不足1人推荐1人）。</w:t>
      </w:r>
    </w:p>
    <w:p>
      <w:pPr>
        <w:spacing w:after="80" w:line="360" w:lineRule="auto"/>
        <w:ind w:firstLine="482"/>
        <w:jc w:val="both"/>
      </w:pPr>
      <w:r>
        <w:rPr>
          <w:rFonts w:ascii="Times New Roman" w:hAnsi="Times New Roman" w:eastAsia="宋体"/>
          <w:sz w:val="24"/>
        </w:rPr>
        <w:t>表1 2026届商学院推免生名额分配表</w:t>
      </w:r>
    </w:p>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Pr>
                <w:rFonts w:ascii="Times New Roman" w:hAnsi="Times New Roman" w:eastAsia="宋体"/>
                <w:sz w:val="21"/>
              </w:rPr>
              <w:t>序号</w:t>
            </w:r>
          </w:p>
        </w:tc>
        <w:tc>
          <w:tcPr>
            <w:tcW w:type="dxa" w:w="1727"/>
          </w:tcPr>
          <w:p>
            <w:pPr>
              <w:jc w:val="center"/>
            </w:pPr>
            <w:r>
              <w:rPr>
                <w:rFonts w:ascii="Times New Roman" w:hAnsi="Times New Roman" w:eastAsia="宋体"/>
                <w:sz w:val="21"/>
              </w:rPr>
              <w:t>所属学院</w:t>
            </w:r>
          </w:p>
        </w:tc>
        <w:tc>
          <w:tcPr>
            <w:tcW w:type="dxa" w:w="1727"/>
          </w:tcPr>
          <w:p>
            <w:pPr>
              <w:jc w:val="center"/>
            </w:pPr>
            <w:r>
              <w:rPr>
                <w:rFonts w:ascii="Times New Roman" w:hAnsi="Times New Roman" w:eastAsia="宋体"/>
                <w:sz w:val="21"/>
              </w:rPr>
              <w:t>专业名称</w:t>
            </w:r>
          </w:p>
        </w:tc>
        <w:tc>
          <w:tcPr>
            <w:tcW w:type="dxa" w:w="1727"/>
          </w:tcPr>
          <w:p>
            <w:pPr>
              <w:jc w:val="center"/>
            </w:pPr>
            <w:r>
              <w:rPr>
                <w:rFonts w:ascii="Times New Roman" w:hAnsi="Times New Roman" w:eastAsia="宋体"/>
                <w:sz w:val="21"/>
              </w:rPr>
              <w:t>推免生名额</w:t>
            </w:r>
          </w:p>
        </w:tc>
        <w:tc>
          <w:tcPr>
            <w:tcW w:type="dxa" w:w="1727"/>
          </w:tcPr>
          <w:p>
            <w:pPr>
              <w:jc w:val="center"/>
            </w:pPr>
            <w:r>
              <w:rPr>
                <w:rFonts w:ascii="Times New Roman" w:hAnsi="Times New Roman" w:eastAsia="宋体"/>
                <w:sz w:val="21"/>
              </w:rPr>
              <w:t>候补名额</w:t>
            </w:r>
          </w:p>
        </w:tc>
      </w:tr>
      <w:tr>
        <w:tc>
          <w:tcPr>
            <w:tcW w:type="dxa" w:w="1727"/>
          </w:tcPr>
          <w:p>
            <w:pPr>
              <w:jc w:val="center"/>
            </w:pPr>
            <w:r>
              <w:rPr>
                <w:rFonts w:ascii="Times New Roman" w:hAnsi="Times New Roman" w:eastAsia="宋体"/>
                <w:sz w:val="21"/>
              </w:rPr>
              <w:t>排序原则</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商学院</w:t>
            </w:r>
          </w:p>
        </w:tc>
        <w:tc>
          <w:tcPr>
            <w:tcW w:type="dxa" w:w="1727"/>
          </w:tcPr>
          <w:p>
            <w:pPr>
              <w:jc w:val="center"/>
            </w:pPr>
            <w:r>
              <w:rPr>
                <w:rFonts w:ascii="Times New Roman" w:hAnsi="Times New Roman" w:eastAsia="宋体"/>
                <w:sz w:val="21"/>
              </w:rPr>
              <w:t>金融学</w:t>
            </w:r>
          </w:p>
        </w:tc>
        <w:tc>
          <w:tcPr>
            <w:tcW w:type="dxa" w:w="1727"/>
          </w:tcPr>
          <w:p>
            <w:pPr>
              <w:jc w:val="center"/>
            </w:pPr>
            <w:r>
              <w:rPr>
                <w:rFonts w:ascii="Times New Roman" w:hAnsi="Times New Roman" w:eastAsia="宋体"/>
                <w:sz w:val="21"/>
              </w:rPr>
              <w:t>1</w:t>
            </w:r>
          </w:p>
        </w:tc>
      </w:tr>
      <w:tr>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根据申请学生综合评定成绩，按总成绩由高到低依次推荐。</w:t>
            </w:r>
          </w:p>
        </w:tc>
        <w:tc>
          <w:tcPr>
            <w:tcW w:type="dxa" w:w="1727"/>
          </w:tcPr>
          <w:p>
            <w:pPr>
              <w:jc w:val="center"/>
            </w:pPr>
            <w:r>
              <w:rPr>
                <w:rFonts w:ascii="Times New Roman" w:hAnsi="Times New Roman" w:eastAsia="宋体"/>
                <w:sz w:val="21"/>
              </w:rPr>
              <w:t>2</w:t>
            </w:r>
          </w:p>
        </w:tc>
        <w:tc>
          <w:tcPr>
            <w:tcW w:type="dxa" w:w="1727"/>
          </w:tcPr>
          <w:p>
            <w:pPr>
              <w:jc w:val="center"/>
            </w:pPr>
            <w:r>
              <w:rPr>
                <w:rFonts w:ascii="Times New Roman" w:hAnsi="Times New Roman" w:eastAsia="宋体"/>
                <w:sz w:val="21"/>
              </w:rPr>
              <w:t>国际经济与贸易</w:t>
            </w:r>
          </w:p>
        </w:tc>
        <w:tc>
          <w:tcPr>
            <w:tcW w:type="dxa" w:w="1727"/>
          </w:tcPr>
          <w:p>
            <w:pPr>
              <w:jc w:val="center"/>
            </w:pPr>
            <w:r>
              <w:rPr>
                <w:rFonts w:ascii="Times New Roman" w:hAnsi="Times New Roman" w:eastAsia="宋体"/>
                <w:sz w:val="21"/>
              </w:rPr>
              <w:t>1</w:t>
            </w:r>
          </w:p>
        </w:tc>
      </w:tr>
      <w:tr>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3</w:t>
            </w:r>
          </w:p>
        </w:tc>
        <w:tc>
          <w:tcPr>
            <w:tcW w:type="dxa" w:w="1727"/>
          </w:tcPr>
          <w:p>
            <w:pPr>
              <w:jc w:val="center"/>
            </w:pPr>
            <w:r>
              <w:rPr>
                <w:rFonts w:ascii="Times New Roman" w:hAnsi="Times New Roman" w:eastAsia="宋体"/>
                <w:sz w:val="21"/>
              </w:rPr>
              <w:t>工商管理</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1</w:t>
            </w:r>
          </w:p>
        </w:tc>
      </w:tr>
      <w:tr>
        <w:tc>
          <w:tcPr>
            <w:tcW w:type="dxa" w:w="1727"/>
          </w:tcPr>
          <w:p>
            <w:pPr>
              <w:jc w:val="center"/>
            </w:pPr>
            <w:r>
              <w:rPr>
                <w:rFonts w:ascii="Times New Roman" w:hAnsi="Times New Roman" w:eastAsia="宋体"/>
                <w:sz w:val="21"/>
              </w:rPr>
              <w:t>4</w:t>
            </w:r>
          </w:p>
        </w:tc>
        <w:tc>
          <w:tcPr>
            <w:tcW w:type="dxa" w:w="1727"/>
          </w:tcPr>
          <w:p>
            <w:pPr>
              <w:jc w:val="center"/>
            </w:pPr>
            <w:r>
              <w:rPr>
                <w:rFonts w:ascii="Times New Roman" w:hAnsi="Times New Roman" w:eastAsia="宋体"/>
                <w:sz w:val="21"/>
              </w:rPr>
              <w:t>会计学</w:t>
            </w:r>
          </w:p>
        </w:tc>
        <w:tc>
          <w:tcPr>
            <w:tcW w:type="dxa" w:w="1727"/>
          </w:tcPr>
          <w:p>
            <w:pPr>
              <w:jc w:val="center"/>
            </w:pPr>
            <w:r>
              <w:rPr>
                <w:rFonts w:ascii="Times New Roman" w:hAnsi="Times New Roman" w:eastAsia="宋体"/>
                <w:sz w:val="21"/>
              </w:rPr>
              <w:t>2</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5</w:t>
            </w:r>
          </w:p>
        </w:tc>
      </w:tr>
      <w:tr>
        <w:tc>
          <w:tcPr>
            <w:tcW w:type="dxa" w:w="1727"/>
          </w:tcPr>
          <w:p>
            <w:pPr>
              <w:jc w:val="center"/>
            </w:pPr>
            <w:r>
              <w:rPr>
                <w:rFonts w:ascii="Times New Roman" w:hAnsi="Times New Roman" w:eastAsia="宋体"/>
                <w:sz w:val="21"/>
              </w:rPr>
              <w:t>物流管理</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6</w:t>
            </w:r>
          </w:p>
        </w:tc>
        <w:tc>
          <w:tcPr>
            <w:tcW w:type="dxa" w:w="1727"/>
          </w:tcPr>
          <w:p>
            <w:pPr>
              <w:jc w:val="center"/>
            </w:pPr>
            <w:r>
              <w:rPr>
                <w:rFonts w:ascii="Times New Roman" w:hAnsi="Times New Roman" w:eastAsia="宋体"/>
                <w:sz w:val="21"/>
              </w:rPr>
              <w:t>旅游管理</w:t>
            </w:r>
          </w:p>
        </w:tc>
      </w:tr>
      <w:tr>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7</w:t>
            </w:r>
          </w:p>
        </w:tc>
        <w:tc>
          <w:tcPr>
            <w:tcW w:type="dxa" w:w="1727"/>
          </w:tcPr>
          <w:p>
            <w:pPr>
              <w:jc w:val="center"/>
            </w:pPr>
            <w:r>
              <w:rPr>
                <w:rFonts w:ascii="Times New Roman" w:hAnsi="Times New Roman" w:eastAsia="宋体"/>
                <w:sz w:val="21"/>
              </w:rPr>
              <w:t>大数据应用与管理</w:t>
            </w:r>
          </w:p>
        </w:tc>
        <w:tc>
          <w:tcPr>
            <w:tcW w:type="dxa" w:w="1727"/>
          </w:tcPr>
          <w:p>
            <w:pPr>
              <w:jc w:val="center"/>
            </w:pPr>
            <w:r>
              <w:rPr>
                <w:rFonts w:ascii="Times New Roman" w:hAnsi="Times New Roman" w:eastAsia="宋体"/>
                <w:sz w:val="21"/>
              </w:rPr>
              <w:t>1</w:t>
            </w:r>
          </w:p>
        </w:tc>
      </w:tr>
      <w:tr>
        <w:tc>
          <w:tcPr>
            <w:tcW w:type="dxa" w:w="1727"/>
          </w:tcPr>
          <w:p>
            <w:pPr>
              <w:jc w:val="center"/>
            </w:pPr>
            <w:r>
              <w:rPr>
                <w:rFonts w:ascii="Times New Roman" w:hAnsi="Times New Roman" w:eastAsia="宋体"/>
                <w:sz w:val="21"/>
              </w:rPr>
              <w:t>1</w:t>
            </w:r>
          </w:p>
        </w:tc>
        <w:tc>
          <w:tcPr>
            <w:tcW w:type="dxa" w:w="1727"/>
          </w:tcPr>
          <w:p>
            <w:pPr>
              <w:jc w:val="center"/>
            </w:pPr>
            <w:r>
              <w:rPr>
                <w:rFonts w:ascii="Times New Roman" w:hAnsi="Times New Roman" w:eastAsia="宋体"/>
                <w:sz w:val="21"/>
              </w:rPr>
              <w:t>说明：如遇推免生名额空缺，由候补人员依次递补，无递补的名额由学校收回统一分配。</w:t>
            </w:r>
          </w:p>
        </w:tc>
        <w:tc>
          <w:tcPr>
            <w:tcW w:type="dxa" w:w="1727"/>
          </w:tcPr>
          <w:p>
            <w:pPr>
              <w:jc w:val="center"/>
            </w:pPr>
            <w:r>
              <w:rPr>
                <w:rFonts w:ascii="Times New Roman" w:hAnsi="Times New Roman" w:eastAsia="宋体"/>
                <w:sz w:val="21"/>
              </w:rPr>
            </w:r>
          </w:p>
        </w:tc>
        <w:tc>
          <w:tcPr>
            <w:tcW w:type="dxa" w:w="1727"/>
          </w:tcPr>
          <w:p>
            <w:pPr>
              <w:jc w:val="center"/>
            </w:pPr>
            <w:r>
              <w:rPr>
                <w:rFonts w:ascii="Times New Roman" w:hAnsi="Times New Roman" w:eastAsia="宋体"/>
                <w:sz w:val="21"/>
              </w:rPr>
            </w:r>
          </w:p>
        </w:tc>
        <w:tc>
          <w:tcPr>
            <w:tcW w:type="dxa" w:w="1727"/>
          </w:tcPr>
          <w:p>
            <w:pPr>
              <w:jc w:val="center"/>
            </w:pPr>
            <w:r>
              <w:rPr>
                <w:rFonts w:ascii="Times New Roman" w:hAnsi="Times New Roman" w:eastAsia="宋体"/>
                <w:sz w:val="21"/>
              </w:rPr>
            </w:r>
          </w:p>
        </w:tc>
      </w:tr>
    </w:tbl>
    <w:p/>
    <w:p>
      <w:pPr>
        <w:spacing w:after="80" w:line="360" w:lineRule="auto"/>
        <w:ind w:firstLine="482"/>
        <w:jc w:val="both"/>
      </w:pPr>
      <w:r>
        <w:rPr>
          <w:rFonts w:ascii="Times New Roman" w:hAnsi="Times New Roman" w:eastAsia="宋体"/>
          <w:sz w:val="24"/>
        </w:rPr>
        <w:t>（五）品行表现优良，无任何违法违纪受处分记录。</w:t>
      </w:r>
    </w:p>
    <w:p>
      <w:pPr>
        <w:spacing w:after="80" w:line="360" w:lineRule="auto"/>
        <w:ind w:firstLine="482"/>
        <w:jc w:val="both"/>
      </w:pPr>
      <w:r>
        <w:rPr>
          <w:rFonts w:ascii="Times New Roman" w:hAnsi="Times New Roman" w:eastAsia="宋体"/>
          <w:sz w:val="24"/>
        </w:rPr>
        <w:t>（六）按照《国家学生体质健康标准》测试的前3年（五年制为前4年）平均成绩为60分及以上（对符合《国家学生体质健康标准》中免测条件的学生不作要求）。</w:t>
      </w:r>
    </w:p>
    <w:p>
      <w:pPr>
        <w:spacing w:before="160" w:after="80" w:line="360" w:lineRule="auto"/>
      </w:pPr>
      <w:r>
        <w:rPr>
          <w:rFonts w:ascii="Times New Roman" w:hAnsi="Times New Roman" w:eastAsia="宋体"/>
          <w:b/>
          <w:sz w:val="28"/>
        </w:rPr>
        <w:t>四、综合成绩计算</w:t>
      </w:r>
    </w:p>
    <w:p>
      <w:pPr>
        <w:spacing w:after="80" w:line="360" w:lineRule="auto"/>
        <w:ind w:firstLine="482"/>
        <w:jc w:val="both"/>
      </w:pPr>
      <w:r>
        <w:rPr>
          <w:rFonts w:ascii="Times New Roman" w:hAnsi="Times New Roman" w:eastAsia="宋体"/>
          <w:sz w:val="24"/>
        </w:rPr>
        <w:t>学生综合评定成绩采取百分制，分为学业成绩评定和素质成绩评定两个部分。综合评定成绩=学业成绩评定总分×85%+素质成绩评定总分×15%。（最终综合评定成绩相同的先比较学业成绩评定总分，再比较平均学分绩点）</w:t>
      </w:r>
    </w:p>
    <w:p>
      <w:pPr>
        <w:spacing w:after="80" w:line="360" w:lineRule="auto"/>
        <w:ind w:firstLine="482"/>
        <w:jc w:val="both"/>
      </w:pPr>
      <w:r>
        <w:rPr>
          <w:rFonts w:ascii="Times New Roman" w:hAnsi="Times New Roman" w:eastAsia="宋体"/>
          <w:sz w:val="24"/>
        </w:rPr>
        <w:t>（一）学业成绩评定。取学生1-6学期修读所有课程（不含辅修、微专业课程）加权平均成绩，加权平均成绩=∑（课程成绩×课程学分）/∑课程学分。成绩以教务管理系统记录的初修成绩为准。</w:t>
      </w:r>
    </w:p>
    <w:p>
      <w:pPr>
        <w:spacing w:after="80" w:line="360" w:lineRule="auto"/>
        <w:ind w:firstLine="482"/>
        <w:jc w:val="both"/>
      </w:pPr>
      <w:r>
        <w:rPr>
          <w:rFonts w:ascii="Times New Roman" w:hAnsi="Times New Roman" w:eastAsia="宋体"/>
          <w:sz w:val="24"/>
        </w:rPr>
        <w:t>（二）素质成绩评定。将学生特殊学术专长（学科竞赛、论文）和综合素质（参军入伍服兵役、参加志愿服务和到国际组织实习）等符合全面发展价值导向的因素纳入推免生遴选指标体系，综合评价学生的各方面表现，形成最终的素质成绩评定总分（具体评定细则见附件）。学生在某一方面中有多项加分情况时，原则上只取一项，不得为仅符合单一或部分遴选指标的学生单列计划或破格推荐。</w:t>
      </w:r>
    </w:p>
    <w:p>
      <w:pPr>
        <w:spacing w:before="160" w:after="80" w:line="360" w:lineRule="auto"/>
      </w:pPr>
      <w:r>
        <w:rPr>
          <w:rFonts w:ascii="Times New Roman" w:hAnsi="Times New Roman" w:eastAsia="宋体"/>
          <w:b/>
          <w:sz w:val="28"/>
        </w:rPr>
        <w:t>五、推荐工作程序</w:t>
      </w:r>
    </w:p>
    <w:p>
      <w:pPr>
        <w:spacing w:after="80" w:line="360" w:lineRule="auto"/>
        <w:ind w:firstLine="482"/>
        <w:jc w:val="both"/>
      </w:pPr>
      <w:r>
        <w:rPr>
          <w:rFonts w:ascii="Times New Roman" w:hAnsi="Times New Roman" w:eastAsia="宋体"/>
          <w:sz w:val="24"/>
        </w:rPr>
        <w:t>推免工作严格按以下时间节点与流程执行：</w:t>
      </w:r>
    </w:p>
    <w:p>
      <w:pPr>
        <w:spacing w:after="80" w:line="360" w:lineRule="auto"/>
        <w:ind w:firstLine="482"/>
        <w:jc w:val="both"/>
      </w:pPr>
      <w:r>
        <w:rPr>
          <w:rFonts w:ascii="Times New Roman" w:hAnsi="Times New Roman" w:eastAsia="宋体"/>
          <w:sz w:val="24"/>
        </w:rPr>
        <w:t>（一）学校名额下达与学院细则公布（9月6日）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