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大数据与人工智能学院关于推荐2026届优秀本科毕业生免试攻读硕士研究生名单的公示</w:t>
      </w:r>
    </w:p>
    <w:p>
      <w:pPr>
        <w:spacing w:after="80" w:lineRule="auto" w:line="360"/>
        <w:ind w:firstLine="482"/>
        <w:jc w:val="both"/>
      </w:pPr>
      <w:r>
        <w:rPr>
          <w:rFonts w:ascii="Times New Roman" w:hAnsi="Times New Roman" w:eastAsia="宋体"/>
          <w:b w:val="0"/>
          <w:sz w:val="24"/>
        </w:rPr>
        <w:t>发布日期：2025年9月9日</w:t>
      </w:r>
    </w:p>
    <w:p>
      <w:pPr>
        <w:spacing w:before="160" w:after="80" w:lineRule="auto" w:line="360"/>
        <w:jc w:val="left"/>
      </w:pPr>
      <w:r>
        <w:rPr>
          <w:rFonts w:ascii="Times New Roman" w:hAnsi="Times New Roman" w:eastAsia="宋体"/>
          <w:b/>
          <w:sz w:val="28"/>
        </w:rPr>
        <w:t>一、公示背景与依据</w:t>
      </w:r>
    </w:p>
    <w:p>
      <w:pPr>
        <w:spacing w:after="80" w:lineRule="auto" w:line="360"/>
        <w:ind w:firstLine="482"/>
        <w:jc w:val="both"/>
      </w:pPr>
      <w:r>
        <w:rPr>
          <w:rFonts w:ascii="Times New Roman" w:hAnsi="Times New Roman" w:eastAsia="宋体"/>
          <w:b w:val="0"/>
          <w:sz w:val="24"/>
        </w:rPr>
        <w:t>1. 根据《广东财经大学推荐优秀应届本科毕业生免试攻读硕士研究生工作管理办法（试行）》及《大数据与人工智能学院推荐2026届优秀应届本科毕业生免试攻读研究生工作实施细则》相关规定执行。</w:t>
      </w:r>
    </w:p>
    <w:p>
      <w:pPr>
        <w:spacing w:after="80" w:lineRule="auto" w:line="360"/>
        <w:ind w:firstLine="482"/>
        <w:jc w:val="both"/>
      </w:pPr>
      <w:r>
        <w:rPr>
          <w:rFonts w:ascii="Times New Roman" w:hAnsi="Times New Roman" w:eastAsia="宋体"/>
          <w:b w:val="0"/>
          <w:sz w:val="24"/>
        </w:rPr>
        <w:t>2. 经学生自主申请、学院推免生遴选工作小组与专家审核小组考核，并经学院党政联席会审议，确定拟推荐名单。</w:t>
      </w:r>
    </w:p>
    <w:p>
      <w:pPr>
        <w:spacing w:before="160" w:after="80" w:lineRule="auto" w:line="360"/>
        <w:jc w:val="left"/>
      </w:pPr>
      <w:r>
        <w:rPr>
          <w:rFonts w:ascii="Times New Roman" w:hAnsi="Times New Roman" w:eastAsia="宋体"/>
          <w:b/>
          <w:sz w:val="28"/>
        </w:rPr>
        <w:t>二、拟推荐名单及公示安排</w:t>
      </w:r>
    </w:p>
    <w:p>
      <w:pPr>
        <w:spacing w:after="80" w:lineRule="auto" w:line="360"/>
        <w:ind w:firstLine="482"/>
        <w:jc w:val="both"/>
      </w:pPr>
      <w:r>
        <w:rPr>
          <w:rFonts w:ascii="Times New Roman" w:hAnsi="Times New Roman" w:eastAsia="宋体"/>
          <w:b w:val="0"/>
          <w:sz w:val="24"/>
        </w:rPr>
        <w:t>1. 拟正式推荐林珍祺等11名同学、候补推荐林志冲等5名同学免试攻读硕士研究生。</w:t>
      </w:r>
    </w:p>
    <w:p>
      <w:pPr>
        <w:spacing w:after="80" w:lineRule="auto" w:line="360"/>
        <w:ind w:firstLine="482"/>
        <w:jc w:val="both"/>
      </w:pPr>
      <w:r>
        <w:rPr>
          <w:rFonts w:ascii="Times New Roman" w:hAnsi="Times New Roman" w:eastAsia="宋体"/>
          <w:b w:val="0"/>
          <w:sz w:val="24"/>
        </w:rPr>
        <w:t>2. 拟获得推免资格学生的相关赋分实物材料（社会服务、竞赛获奖、科研成果）在学院教务办公室（立德楼825）公示。</w:t>
      </w:r>
    </w:p>
    <w:p>
      <w:pPr>
        <w:spacing w:after="80" w:lineRule="auto" w:line="360"/>
        <w:ind w:firstLine="482"/>
        <w:jc w:val="both"/>
      </w:pPr>
      <w:r>
        <w:rPr>
          <w:rFonts w:ascii="Times New Roman" w:hAnsi="Times New Roman" w:eastAsia="宋体"/>
          <w:b w:val="0"/>
          <w:sz w:val="24"/>
        </w:rPr>
        <w:t>3. 公示时间：2025年9月9日至16日。</w:t>
      </w:r>
    </w:p>
    <w:p>
      <w:pPr>
        <w:spacing w:after="80" w:lineRule="auto" w:line="360"/>
        <w:ind w:firstLine="482"/>
        <w:jc w:val="both"/>
      </w:pPr>
      <w:r>
        <w:rPr>
          <w:rFonts w:ascii="Times New Roman" w:hAnsi="Times New Roman" w:eastAsia="宋体"/>
          <w:b w:val="0"/>
          <w:sz w:val="24"/>
        </w:rPr>
        <w:t>4. 公示期间如有异议，请以书面形式向学院推免生遴选工作小组反映；非实名、无具体事实材料或逾期提出异议的，不予受理。</w:t>
      </w:r>
    </w:p>
    <w:p>
      <w:pPr>
        <w:spacing w:before="160" w:after="80" w:lineRule="auto" w:line="360"/>
        <w:jc w:val="left"/>
      </w:pPr>
      <w:r>
        <w:rPr>
          <w:rFonts w:ascii="Times New Roman" w:hAnsi="Times New Roman" w:eastAsia="宋体"/>
          <w:b/>
          <w:sz w:val="28"/>
        </w:rPr>
        <w:t>三、联系方式</w:t>
      </w:r>
    </w:p>
    <w:p>
      <w:pPr>
        <w:spacing w:after="80" w:lineRule="auto" w:line="360"/>
        <w:ind w:firstLine="482"/>
        <w:jc w:val="both"/>
      </w:pPr>
      <w:r>
        <w:rPr>
          <w:rFonts w:ascii="Times New Roman" w:hAnsi="Times New Roman" w:eastAsia="宋体"/>
          <w:b w:val="0"/>
          <w:sz w:val="24"/>
        </w:rPr>
        <w:t>1. 联系人：卢老师</w:t>
      </w:r>
    </w:p>
    <w:p>
      <w:pPr>
        <w:spacing w:after="80" w:lineRule="auto" w:line="360"/>
        <w:ind w:firstLine="482"/>
        <w:jc w:val="both"/>
      </w:pPr>
      <w:r>
        <w:rPr>
          <w:rFonts w:ascii="Times New Roman" w:hAnsi="Times New Roman" w:eastAsia="宋体"/>
          <w:b w:val="0"/>
          <w:sz w:val="24"/>
        </w:rPr>
        <w:t>2. 联系电话：020-84268021</w:t>
      </w:r>
    </w:p>
    <w:p>
      <w:pPr>
        <w:spacing w:after="80" w:lineRule="auto" w:line="360"/>
        <w:ind w:firstLine="482"/>
        <w:jc w:val="both"/>
      </w:pPr>
      <w:r>
        <w:rPr>
          <w:rFonts w:ascii="Times New Roman" w:hAnsi="Times New Roman" w:eastAsia="宋体"/>
          <w:b w:val="0"/>
          <w:sz w:val="24"/>
        </w:rPr>
        <w:t>3. 联系邮箱：info_jwzy@gdufe.edu.cn</w:t>
      </w:r>
    </w:p>
    <w:p>
      <w:pPr>
        <w:spacing w:after="80" w:lineRule="auto" w:line="360"/>
        <w:ind w:firstLine="482"/>
        <w:jc w:val="both"/>
      </w:pPr>
      <w:r>
        <w:rPr>
          <w:rFonts w:ascii="Times New Roman" w:hAnsi="Times New Roman" w:eastAsia="宋体"/>
          <w:b w:val="0"/>
          <w:sz w:val="24"/>
        </w:rPr>
        <w:t>4. 办公地址：广州校区立德楼828室</w:t>
      </w:r>
    </w:p>
    <w:p>
      <w:pPr>
        <w:spacing w:before="160" w:after="80" w:lineRule="auto" w:line="360"/>
        <w:jc w:val="left"/>
      </w:pPr>
      <w:r>
        <w:rPr>
          <w:rFonts w:ascii="Times New Roman" w:hAnsi="Times New Roman" w:eastAsia="宋体"/>
          <w:b/>
          <w:sz w:val="28"/>
        </w:rPr>
        <w:t>四、拟推荐名单及考核结果（部分示例）</w:t>
      </w:r>
    </w:p>
    <w:tbl>
      <w:tblPr>
        <w:tblStyle w:val="TableGrid"/>
        <w:tblW w:type="auto" w:w="0"/>
        <w:jc w:val="center"/>
        <w:tblLook w:firstColumn="1" w:firstRow="1" w:lastColumn="0" w:lastRow="0" w:noHBand="0" w:noVBand="1" w:val="04A0"/>
      </w:tblPr>
      <w:tblGrid>
        <w:gridCol w:w="1079"/>
        <w:gridCol w:w="1079"/>
        <w:gridCol w:w="1079"/>
        <w:gridCol w:w="1079"/>
        <w:gridCol w:w="1079"/>
        <w:gridCol w:w="1079"/>
        <w:gridCol w:w="1079"/>
        <w:gridCol w:w="1079"/>
      </w:tblGrid>
      <w:tr>
        <w:tc>
          <w:tcPr>
            <w:tcW w:type="dxa" w:w="1079"/>
          </w:tcPr>
          <w:p>
            <w:pPr>
              <w:spacing w:after="20" w:before="20"/>
            </w:pPr>
            <w:r/>
            <w:r>
              <w:rPr>
                <w:rFonts w:ascii="Times New Roman" w:hAnsi="Times New Roman" w:eastAsia="宋体"/>
                <w:b/>
                <w:sz w:val="21"/>
              </w:rPr>
              <w:t>姓名</w:t>
            </w:r>
          </w:p>
        </w:tc>
        <w:tc>
          <w:tcPr>
            <w:tcW w:type="dxa" w:w="1079"/>
          </w:tcPr>
          <w:p>
            <w:pPr>
              <w:spacing w:after="20" w:before="20"/>
            </w:pPr>
            <w:r/>
            <w:r>
              <w:rPr>
                <w:rFonts w:ascii="Times New Roman" w:hAnsi="Times New Roman" w:eastAsia="宋体"/>
                <w:b/>
                <w:sz w:val="21"/>
              </w:rPr>
              <w:t>学号</w:t>
            </w:r>
          </w:p>
        </w:tc>
        <w:tc>
          <w:tcPr>
            <w:tcW w:type="dxa" w:w="1079"/>
          </w:tcPr>
          <w:p>
            <w:pPr>
              <w:spacing w:after="20" w:before="20"/>
            </w:pPr>
            <w:r/>
            <w:r>
              <w:rPr>
                <w:rFonts w:ascii="Times New Roman" w:hAnsi="Times New Roman" w:eastAsia="宋体"/>
                <w:b/>
                <w:sz w:val="21"/>
              </w:rPr>
              <w:t>专业</w:t>
            </w:r>
          </w:p>
        </w:tc>
        <w:tc>
          <w:tcPr>
            <w:tcW w:type="dxa" w:w="1079"/>
          </w:tcPr>
          <w:p>
            <w:pPr>
              <w:spacing w:after="20" w:before="20"/>
            </w:pPr>
            <w:r/>
            <w:r>
              <w:rPr>
                <w:rFonts w:ascii="Times New Roman" w:hAnsi="Times New Roman" w:eastAsia="宋体"/>
                <w:b/>
                <w:sz w:val="21"/>
              </w:rPr>
              <w:t>思想品德考核</w:t>
            </w:r>
          </w:p>
        </w:tc>
        <w:tc>
          <w:tcPr>
            <w:tcW w:type="dxa" w:w="1079"/>
          </w:tcPr>
          <w:p>
            <w:pPr>
              <w:spacing w:after="20" w:before="20"/>
            </w:pPr>
            <w:r/>
            <w:r>
              <w:rPr>
                <w:rFonts w:ascii="Times New Roman" w:hAnsi="Times New Roman" w:eastAsia="宋体"/>
                <w:b/>
                <w:sz w:val="21"/>
              </w:rPr>
              <w:t>必修课累计平均学分绩点</w:t>
            </w:r>
          </w:p>
        </w:tc>
        <w:tc>
          <w:tcPr>
            <w:tcW w:type="dxa" w:w="1079"/>
          </w:tcPr>
          <w:p>
            <w:pPr>
              <w:spacing w:after="20" w:before="20"/>
            </w:pPr>
            <w:r/>
            <w:r>
              <w:rPr>
                <w:rFonts w:ascii="Times New Roman" w:hAnsi="Times New Roman" w:eastAsia="宋体"/>
                <w:b/>
                <w:sz w:val="21"/>
              </w:rPr>
              <w:t>推免综合评价分数</w:t>
            </w:r>
          </w:p>
        </w:tc>
        <w:tc>
          <w:tcPr>
            <w:tcW w:type="dxa" w:w="1079"/>
          </w:tcPr>
          <w:p>
            <w:pPr>
              <w:spacing w:after="20" w:before="20"/>
            </w:pPr>
            <w:r/>
            <w:r>
              <w:rPr>
                <w:rFonts w:ascii="Times New Roman" w:hAnsi="Times New Roman" w:eastAsia="宋体"/>
                <w:b/>
                <w:sz w:val="21"/>
              </w:rPr>
              <w:t>专业排名</w:t>
            </w:r>
          </w:p>
        </w:tc>
        <w:tc>
          <w:tcPr>
            <w:tcW w:type="dxa" w:w="1079"/>
          </w:tcPr>
          <w:p>
            <w:pPr>
              <w:spacing w:after="20" w:before="20"/>
            </w:pPr>
            <w:r/>
            <w:r>
              <w:rPr>
                <w:rFonts w:ascii="Times New Roman" w:hAnsi="Times New Roman" w:eastAsia="宋体"/>
                <w:b/>
                <w:sz w:val="21"/>
              </w:rPr>
              <w:t>推荐结论</w:t>
            </w:r>
          </w:p>
        </w:tc>
      </w:tr>
      <w:tr>
        <w:tc>
          <w:tcPr>
            <w:tcW w:type="dxa" w:w="1079"/>
          </w:tcPr>
          <w:p>
            <w:pPr>
              <w:spacing w:after="20" w:before="20"/>
            </w:pPr>
            <w:r/>
            <w:r>
              <w:rPr>
                <w:rFonts w:ascii="Times New Roman" w:hAnsi="Times New Roman" w:eastAsia="宋体"/>
                <w:b w:val="0"/>
                <w:sz w:val="21"/>
              </w:rPr>
              <w:t>林珍祺</w:t>
            </w:r>
          </w:p>
        </w:tc>
        <w:tc>
          <w:tcPr>
            <w:tcW w:type="dxa" w:w="1079"/>
          </w:tcPr>
          <w:p>
            <w:pPr>
              <w:spacing w:after="20" w:before="20"/>
            </w:pPr>
            <w:r/>
            <w:r>
              <w:rPr>
                <w:rFonts w:ascii="Times New Roman" w:hAnsi="Times New Roman" w:eastAsia="宋体"/>
                <w:b w:val="0"/>
                <w:sz w:val="21"/>
              </w:rPr>
              <w:t>22252502203</w:t>
            </w:r>
          </w:p>
        </w:tc>
        <w:tc>
          <w:tcPr>
            <w:tcW w:type="dxa" w:w="1079"/>
          </w:tcPr>
          <w:p>
            <w:pPr>
              <w:spacing w:after="20" w:before="20"/>
            </w:pPr>
            <w:r/>
            <w:r>
              <w:rPr>
                <w:rFonts w:ascii="Times New Roman" w:hAnsi="Times New Roman" w:eastAsia="宋体"/>
                <w:b w:val="0"/>
                <w:sz w:val="21"/>
              </w:rPr>
              <w:t>大数据管理与应用</w:t>
            </w:r>
          </w:p>
        </w:tc>
        <w:tc>
          <w:tcPr>
            <w:tcW w:type="dxa" w:w="1079"/>
          </w:tcPr>
          <w:p>
            <w:pPr>
              <w:spacing w:after="20" w:before="20"/>
            </w:pPr>
            <w:r/>
            <w:r>
              <w:rPr>
                <w:rFonts w:ascii="Times New Roman" w:hAnsi="Times New Roman" w:eastAsia="宋体"/>
                <w:b w:val="0"/>
                <w:sz w:val="21"/>
              </w:rPr>
              <w:t>合格</w:t>
            </w:r>
          </w:p>
        </w:tc>
        <w:tc>
          <w:tcPr>
            <w:tcW w:type="dxa" w:w="1079"/>
          </w:tcPr>
          <w:p>
            <w:pPr>
              <w:spacing w:after="20" w:before="20"/>
            </w:pPr>
            <w:r/>
            <w:r>
              <w:rPr>
                <w:rFonts w:ascii="Times New Roman" w:hAnsi="Times New Roman" w:eastAsia="宋体"/>
                <w:b w:val="0"/>
                <w:sz w:val="21"/>
              </w:rPr>
              <w:t>91.1</w:t>
            </w:r>
          </w:p>
        </w:tc>
        <w:tc>
          <w:tcPr>
            <w:tcW w:type="dxa" w:w="1079"/>
          </w:tcPr>
          <w:p>
            <w:pPr>
              <w:spacing w:after="20" w:before="20"/>
            </w:pPr>
            <w:r/>
            <w:r>
              <w:rPr>
                <w:rFonts w:ascii="Times New Roman" w:hAnsi="Times New Roman" w:eastAsia="宋体"/>
                <w:b w:val="0"/>
                <w:sz w:val="21"/>
              </w:rPr>
              <w:t>77.4</w:t>
            </w:r>
          </w:p>
        </w:tc>
        <w:tc>
          <w:tcPr>
            <w:tcW w:type="dxa" w:w="1079"/>
          </w:tcPr>
          <w:p>
            <w:pPr>
              <w:spacing w:after="20" w:before="20"/>
            </w:pPr>
            <w:r/>
            <w:r>
              <w:rPr>
                <w:rFonts w:ascii="Times New Roman" w:hAnsi="Times New Roman" w:eastAsia="宋体"/>
                <w:b w:val="0"/>
                <w:sz w:val="21"/>
              </w:rPr>
              <w:t>第1</w:t>
            </w:r>
          </w:p>
        </w:tc>
        <w:tc>
          <w:tcPr>
            <w:tcW w:type="dxa" w:w="1079"/>
          </w:tcPr>
          <w:p>
            <w:pPr>
              <w:spacing w:after="20" w:before="20"/>
            </w:pPr>
            <w:r/>
            <w:r>
              <w:rPr>
                <w:rFonts w:ascii="Times New Roman" w:hAnsi="Times New Roman" w:eastAsia="宋体"/>
                <w:b w:val="0"/>
                <w:sz w:val="21"/>
              </w:rPr>
              <w:t>正式</w:t>
            </w:r>
          </w:p>
        </w:tc>
      </w:tr>
      <w:tr>
        <w:tc>
          <w:tcPr>
            <w:tcW w:type="dxa" w:w="1079"/>
          </w:tcPr>
          <w:p>
            <w:pPr>
              <w:spacing w:after="20" w:before="20"/>
            </w:pPr>
            <w:r/>
            <w:r>
              <w:rPr>
                <w:rFonts w:ascii="Times New Roman" w:hAnsi="Times New Roman" w:eastAsia="宋体"/>
                <w:b w:val="0"/>
                <w:sz w:val="21"/>
              </w:rPr>
              <w:t>黎锦锋</w:t>
            </w:r>
          </w:p>
        </w:tc>
        <w:tc>
          <w:tcPr>
            <w:tcW w:type="dxa" w:w="1079"/>
          </w:tcPr>
          <w:p>
            <w:pPr>
              <w:spacing w:after="20" w:before="20"/>
            </w:pPr>
            <w:r/>
            <w:r>
              <w:rPr>
                <w:rFonts w:ascii="Times New Roman" w:hAnsi="Times New Roman" w:eastAsia="宋体"/>
                <w:b w:val="0"/>
                <w:sz w:val="21"/>
              </w:rPr>
              <w:t>22251109127</w:t>
            </w:r>
          </w:p>
        </w:tc>
        <w:tc>
          <w:tcPr>
            <w:tcW w:type="dxa" w:w="1079"/>
          </w:tcPr>
          <w:p>
            <w:pPr>
              <w:spacing w:after="20" w:before="20"/>
            </w:pPr>
            <w:r/>
            <w:r>
              <w:rPr>
                <w:rFonts w:ascii="Times New Roman" w:hAnsi="Times New Roman" w:eastAsia="宋体"/>
                <w:b w:val="0"/>
                <w:sz w:val="21"/>
              </w:rPr>
              <w:t>大数据管理与应用</w:t>
            </w:r>
          </w:p>
        </w:tc>
        <w:tc>
          <w:tcPr>
            <w:tcW w:type="dxa" w:w="1079"/>
          </w:tcPr>
          <w:p>
            <w:pPr>
              <w:spacing w:after="20" w:before="20"/>
            </w:pPr>
            <w:r/>
            <w:r>
              <w:rPr>
                <w:rFonts w:ascii="Times New Roman" w:hAnsi="Times New Roman" w:eastAsia="宋体"/>
                <w:b w:val="0"/>
                <w:sz w:val="21"/>
              </w:rPr>
              <w:t>合格</w:t>
            </w:r>
          </w:p>
        </w:tc>
        <w:tc>
          <w:tcPr>
            <w:tcW w:type="dxa" w:w="1079"/>
          </w:tcPr>
          <w:p>
            <w:pPr>
              <w:spacing w:after="20" w:before="20"/>
            </w:pPr>
            <w:r/>
            <w:r>
              <w:rPr>
                <w:rFonts w:ascii="Times New Roman" w:hAnsi="Times New Roman" w:eastAsia="宋体"/>
                <w:b w:val="0"/>
                <w:sz w:val="21"/>
              </w:rPr>
              <w:t>90.3</w:t>
            </w:r>
          </w:p>
        </w:tc>
        <w:tc>
          <w:tcPr>
            <w:tcW w:type="dxa" w:w="1079"/>
          </w:tcPr>
          <w:p>
            <w:pPr>
              <w:spacing w:after="20" w:before="20"/>
            </w:pPr>
            <w:r/>
            <w:r>
              <w:rPr>
                <w:rFonts w:ascii="Times New Roman" w:hAnsi="Times New Roman" w:eastAsia="宋体"/>
                <w:b w:val="0"/>
                <w:sz w:val="21"/>
              </w:rPr>
              <w:t>76.8</w:t>
            </w:r>
          </w:p>
        </w:tc>
        <w:tc>
          <w:tcPr>
            <w:tcW w:type="dxa" w:w="1079"/>
          </w:tcPr>
          <w:p>
            <w:pPr>
              <w:spacing w:after="20" w:before="20"/>
            </w:pPr>
            <w:r/>
            <w:r>
              <w:rPr>
                <w:rFonts w:ascii="Times New Roman" w:hAnsi="Times New Roman" w:eastAsia="宋体"/>
                <w:b w:val="0"/>
                <w:sz w:val="21"/>
              </w:rPr>
              <w:t>第2</w:t>
            </w:r>
          </w:p>
        </w:tc>
        <w:tc>
          <w:tcPr>
            <w:tcW w:type="dxa" w:w="1079"/>
          </w:tcPr>
          <w:p>
            <w:pPr>
              <w:spacing w:after="20" w:before="20"/>
            </w:pPr>
            <w:r/>
            <w:r>
              <w:rPr>
                <w:rFonts w:ascii="Times New Roman" w:hAnsi="Times New Roman" w:eastAsia="宋体"/>
                <w:b w:val="0"/>
                <w:sz w:val="21"/>
              </w:rPr>
              <w:t>正式</w:t>
            </w:r>
          </w:p>
        </w:tc>
      </w:tr>
      <w:tr>
        <w:tc>
          <w:tcPr>
            <w:tcW w:type="dxa" w:w="1079"/>
          </w:tcPr>
          <w:p>
            <w:pPr>
              <w:spacing w:after="20" w:before="20"/>
            </w:pPr>
            <w:r/>
            <w:r>
              <w:rPr>
                <w:rFonts w:ascii="Times New Roman" w:hAnsi="Times New Roman" w:eastAsia="宋体"/>
                <w:b w:val="0"/>
                <w:sz w:val="21"/>
              </w:rPr>
              <w:t>夏丽珠</w:t>
            </w:r>
          </w:p>
        </w:tc>
        <w:tc>
          <w:tcPr>
            <w:tcW w:type="dxa" w:w="1079"/>
          </w:tcPr>
          <w:p>
            <w:pPr>
              <w:spacing w:after="20" w:before="20"/>
            </w:pPr>
            <w:r/>
            <w:r>
              <w:rPr>
                <w:rFonts w:ascii="Times New Roman" w:hAnsi="Times New Roman" w:eastAsia="宋体"/>
                <w:b w:val="0"/>
                <w:sz w:val="21"/>
              </w:rPr>
              <w:t>22351112106</w:t>
            </w:r>
          </w:p>
        </w:tc>
        <w:tc>
          <w:tcPr>
            <w:tcW w:type="dxa" w:w="1079"/>
          </w:tcPr>
          <w:p>
            <w:pPr>
              <w:spacing w:after="20" w:before="20"/>
            </w:pPr>
            <w:r/>
            <w:r>
              <w:rPr>
                <w:rFonts w:ascii="Times New Roman" w:hAnsi="Times New Roman" w:eastAsia="宋体"/>
                <w:b w:val="0"/>
                <w:sz w:val="21"/>
              </w:rPr>
              <w:t>大数据管理与应用</w:t>
            </w:r>
          </w:p>
        </w:tc>
        <w:tc>
          <w:tcPr>
            <w:tcW w:type="dxa" w:w="1079"/>
          </w:tcPr>
          <w:p>
            <w:pPr>
              <w:spacing w:after="20" w:before="20"/>
            </w:pPr>
            <w:r/>
            <w:r>
              <w:rPr>
                <w:rFonts w:ascii="Times New Roman" w:hAnsi="Times New Roman" w:eastAsia="宋体"/>
                <w:b w:val="0"/>
                <w:sz w:val="21"/>
              </w:rPr>
              <w:t>合格</w:t>
            </w:r>
          </w:p>
        </w:tc>
        <w:tc>
          <w:tcPr>
            <w:tcW w:type="dxa" w:w="1079"/>
          </w:tcPr>
          <w:p>
            <w:pPr>
              <w:spacing w:after="20" w:before="20"/>
            </w:pPr>
            <w:r/>
            <w:r>
              <w:rPr>
                <w:rFonts w:ascii="Times New Roman" w:hAnsi="Times New Roman" w:eastAsia="宋体"/>
                <w:b w:val="0"/>
                <w:sz w:val="21"/>
              </w:rPr>
              <w:t>89</w:t>
            </w:r>
          </w:p>
        </w:tc>
        <w:tc>
          <w:tcPr>
            <w:tcW w:type="dxa" w:w="1079"/>
          </w:tcPr>
          <w:p>
            <w:pPr>
              <w:spacing w:after="20" w:before="20"/>
            </w:pPr>
            <w:r/>
            <w:r>
              <w:rPr>
                <w:rFonts w:ascii="Times New Roman" w:hAnsi="Times New Roman" w:eastAsia="宋体"/>
                <w:b w:val="0"/>
                <w:sz w:val="21"/>
              </w:rPr>
              <w:t>75.7</w:t>
            </w:r>
          </w:p>
        </w:tc>
        <w:tc>
          <w:tcPr>
            <w:tcW w:type="dxa" w:w="1079"/>
          </w:tcPr>
          <w:p>
            <w:pPr>
              <w:spacing w:after="20" w:before="20"/>
            </w:pPr>
            <w:r/>
            <w:r>
              <w:rPr>
                <w:rFonts w:ascii="Times New Roman" w:hAnsi="Times New Roman" w:eastAsia="宋体"/>
                <w:b w:val="0"/>
                <w:sz w:val="21"/>
              </w:rPr>
              <w:t>第3</w:t>
            </w:r>
          </w:p>
        </w:tc>
        <w:tc>
          <w:tcPr>
            <w:tcW w:type="dxa" w:w="1079"/>
          </w:tcPr>
          <w:p>
            <w:pPr>
              <w:spacing w:after="20" w:before="20"/>
            </w:pPr>
            <w:r/>
            <w:r>
              <w:rPr>
                <w:rFonts w:ascii="Times New Roman" w:hAnsi="Times New Roman" w:eastAsia="宋体"/>
                <w:b w:val="0"/>
                <w:sz w:val="21"/>
              </w:rPr>
              <w:t>正式</w:t>
            </w:r>
          </w:p>
        </w:tc>
      </w:tr>
      <w:tr>
        <w:tc>
          <w:tcPr>
            <w:tcW w:type="dxa" w:w="1079"/>
          </w:tcPr>
          <w:p>
            <w:pPr>
              <w:spacing w:after="20" w:before="20"/>
            </w:pPr>
            <w:r/>
            <w:r>
              <w:rPr>
                <w:rFonts w:ascii="Times New Roman" w:hAnsi="Times New Roman" w:eastAsia="宋体"/>
                <w:b w:val="0"/>
                <w:sz w:val="21"/>
              </w:rPr>
              <w:t>史上</w:t>
            </w:r>
          </w:p>
        </w:tc>
        <w:tc>
          <w:tcPr>
            <w:tcW w:type="dxa" w:w="1079"/>
          </w:tcPr>
          <w:p>
            <w:pPr>
              <w:spacing w:after="20" w:before="20"/>
            </w:pPr>
            <w:r/>
            <w:r>
              <w:rPr>
                <w:rFonts w:ascii="Times New Roman" w:hAnsi="Times New Roman" w:eastAsia="宋体"/>
                <w:b w:val="0"/>
                <w:sz w:val="21"/>
              </w:rPr>
              <w:t>22351112110</w:t>
            </w:r>
          </w:p>
        </w:tc>
        <w:tc>
          <w:tcPr>
            <w:tcW w:type="dxa" w:w="1079"/>
          </w:tcPr>
          <w:p>
            <w:pPr>
              <w:spacing w:after="20" w:before="20"/>
            </w:pPr>
            <w:r/>
            <w:r>
              <w:rPr>
                <w:rFonts w:ascii="Times New Roman" w:hAnsi="Times New Roman" w:eastAsia="宋体"/>
                <w:b w:val="0"/>
                <w:sz w:val="21"/>
              </w:rPr>
              <w:t>大数据管理与应用</w:t>
            </w:r>
          </w:p>
        </w:tc>
        <w:tc>
          <w:tcPr>
            <w:tcW w:type="dxa" w:w="1079"/>
          </w:tcPr>
          <w:p>
            <w:pPr>
              <w:spacing w:after="20" w:before="20"/>
            </w:pPr>
            <w:r/>
            <w:r>
              <w:rPr>
                <w:rFonts w:ascii="Times New Roman" w:hAnsi="Times New Roman" w:eastAsia="宋体"/>
                <w:b w:val="0"/>
                <w:sz w:val="21"/>
              </w:rPr>
              <w:t>合格</w:t>
            </w:r>
          </w:p>
        </w:tc>
        <w:tc>
          <w:tcPr>
            <w:tcW w:type="dxa" w:w="1079"/>
          </w:tcPr>
          <w:p>
            <w:pPr>
              <w:spacing w:after="20" w:before="20"/>
            </w:pPr>
            <w:r/>
            <w:r>
              <w:rPr>
                <w:rFonts w:ascii="Times New Roman" w:hAnsi="Times New Roman" w:eastAsia="宋体"/>
                <w:b w:val="0"/>
                <w:sz w:val="21"/>
              </w:rPr>
              <w:t>88.3</w:t>
            </w:r>
          </w:p>
        </w:tc>
        <w:tc>
          <w:tcPr>
            <w:tcW w:type="dxa" w:w="1079"/>
          </w:tcPr>
          <w:p>
            <w:pPr>
              <w:spacing w:after="20" w:before="20"/>
            </w:pPr>
            <w:r/>
            <w:r>
              <w:rPr>
                <w:rFonts w:ascii="Times New Roman" w:hAnsi="Times New Roman" w:eastAsia="宋体"/>
                <w:b w:val="0"/>
                <w:sz w:val="21"/>
              </w:rPr>
              <w:t>75.1</w:t>
            </w:r>
          </w:p>
        </w:tc>
        <w:tc>
          <w:tcPr>
            <w:tcW w:type="dxa" w:w="1079"/>
          </w:tcPr>
          <w:p>
            <w:pPr>
              <w:spacing w:after="20" w:before="20"/>
            </w:pPr>
            <w:r/>
            <w:r>
              <w:rPr>
                <w:rFonts w:ascii="Times New Roman" w:hAnsi="Times New Roman" w:eastAsia="宋体"/>
                <w:b w:val="0"/>
                <w:sz w:val="21"/>
              </w:rPr>
              <w:t>第4</w:t>
            </w:r>
          </w:p>
        </w:tc>
        <w:tc>
          <w:tcPr>
            <w:tcW w:type="dxa" w:w="1079"/>
          </w:tcPr>
          <w:p>
            <w:pPr>
              <w:spacing w:after="20" w:before="20"/>
            </w:pPr>
            <w:r/>
            <w:r>
              <w:rPr>
                <w:rFonts w:ascii="Times New Roman" w:hAnsi="Times New Roman" w:eastAsia="宋体"/>
                <w:b w:val="0"/>
                <w:sz w:val="21"/>
              </w:rPr>
              <w:t>候选</w:t>
            </w:r>
          </w:p>
        </w:tc>
      </w:tr>
      <w:tr>
        <w:tc>
          <w:tcPr>
            <w:tcW w:type="dxa" w:w="1079"/>
          </w:tcPr>
          <w:p>
            <w:pPr>
              <w:spacing w:after="20" w:before="20"/>
            </w:pPr>
            <w:r/>
            <w:r>
              <w:rPr>
                <w:rFonts w:ascii="Times New Roman" w:hAnsi="Times New Roman" w:eastAsia="宋体"/>
                <w:b w:val="0"/>
                <w:sz w:val="21"/>
              </w:rPr>
              <w:t>肖嘉颖</w:t>
            </w:r>
          </w:p>
        </w:tc>
        <w:tc>
          <w:tcPr>
            <w:tcW w:type="dxa" w:w="1079"/>
          </w:tcPr>
          <w:p>
            <w:pPr>
              <w:spacing w:after="20" w:before="20"/>
            </w:pPr>
            <w:r/>
            <w:r>
              <w:rPr>
                <w:rFonts w:ascii="Times New Roman" w:hAnsi="Times New Roman" w:eastAsia="宋体"/>
                <w:b w:val="0"/>
                <w:sz w:val="21"/>
              </w:rPr>
              <w:t>22751115328</w:t>
            </w:r>
          </w:p>
        </w:tc>
        <w:tc>
          <w:tcPr>
            <w:tcW w:type="dxa" w:w="1079"/>
          </w:tcPr>
          <w:p>
            <w:pPr>
              <w:spacing w:after="20" w:before="20"/>
            </w:pPr>
            <w:r/>
            <w:r>
              <w:rPr>
                <w:rFonts w:ascii="Times New Roman" w:hAnsi="Times New Roman" w:eastAsia="宋体"/>
                <w:b w:val="0"/>
                <w:sz w:val="21"/>
              </w:rPr>
              <w:t>电子商务</w:t>
            </w:r>
          </w:p>
        </w:tc>
        <w:tc>
          <w:tcPr>
            <w:tcW w:type="dxa" w:w="1079"/>
          </w:tcPr>
          <w:p>
            <w:pPr>
              <w:spacing w:after="20" w:before="20"/>
            </w:pPr>
            <w:r/>
            <w:r>
              <w:rPr>
                <w:rFonts w:ascii="Times New Roman" w:hAnsi="Times New Roman" w:eastAsia="宋体"/>
                <w:b w:val="0"/>
                <w:sz w:val="21"/>
              </w:rPr>
              <w:t>合格</w:t>
            </w:r>
          </w:p>
        </w:tc>
        <w:tc>
          <w:tcPr>
            <w:tcW w:type="dxa" w:w="1079"/>
          </w:tcPr>
          <w:p>
            <w:pPr>
              <w:spacing w:after="20" w:before="20"/>
            </w:pPr>
            <w:r/>
            <w:r>
              <w:rPr>
                <w:rFonts w:ascii="Times New Roman" w:hAnsi="Times New Roman" w:eastAsia="宋体"/>
                <w:b w:val="0"/>
                <w:sz w:val="21"/>
              </w:rPr>
              <w:t>92.4</w:t>
            </w:r>
          </w:p>
        </w:tc>
        <w:tc>
          <w:tcPr>
            <w:tcW w:type="dxa" w:w="1079"/>
          </w:tcPr>
          <w:p>
            <w:pPr>
              <w:spacing w:after="20" w:before="20"/>
            </w:pPr>
            <w:r/>
            <w:r>
              <w:rPr>
                <w:rFonts w:ascii="Times New Roman" w:hAnsi="Times New Roman" w:eastAsia="宋体"/>
                <w:b w:val="0"/>
                <w:sz w:val="21"/>
              </w:rPr>
              <w:t>78.5</w:t>
            </w:r>
          </w:p>
        </w:tc>
        <w:tc>
          <w:tcPr>
            <w:tcW w:type="dxa" w:w="1079"/>
          </w:tcPr>
          <w:p>
            <w:pPr>
              <w:spacing w:after="20" w:before="20"/>
            </w:pPr>
            <w:r/>
            <w:r>
              <w:rPr>
                <w:rFonts w:ascii="Times New Roman" w:hAnsi="Times New Roman" w:eastAsia="宋体"/>
                <w:b w:val="0"/>
                <w:sz w:val="21"/>
              </w:rPr>
              <w:t>第1</w:t>
            </w:r>
          </w:p>
        </w:tc>
        <w:tc>
          <w:tcPr>
            <w:tcW w:type="dxa" w:w="1079"/>
          </w:tcPr>
          <w:p>
            <w:pPr>
              <w:spacing w:after="20" w:before="20"/>
            </w:pPr>
            <w:r/>
            <w:r>
              <w:rPr>
                <w:rFonts w:ascii="Times New Roman" w:hAnsi="Times New Roman" w:eastAsia="宋体"/>
                <w:b w:val="0"/>
                <w:sz w:val="21"/>
              </w:rPr>
              <w:t>正式</w:t>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