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重庆大学管理科学与房地产学院2026年</w:t>
      </w:r>
    </w:p>
    <w:p>
      <w:pPr>
        <w:spacing w:after="80" w:lineRule="auto" w:line="360"/>
        <w:ind w:firstLine="482"/>
        <w:jc w:val="both"/>
      </w:pPr>
      <w:r>
        <w:rPr>
          <w:rFonts w:ascii="Times New Roman" w:hAnsi="Times New Roman" w:eastAsia="宋体"/>
          <w:b w:val="0"/>
          <w:sz w:val="24"/>
        </w:rPr>
        <w:t>为加强全国高校优秀大学生对学院和学科的了解，重庆大学管理科学与房地产学院将于2026年7月7日线上线下同步开展“2026年学术开放日”，期间将进行学科介绍、学术讲座、师生交流等一系列活动。</w:t>
      </w:r>
    </w:p>
    <w:p>
      <w:pPr>
        <w:spacing w:after="80" w:lineRule="auto" w:line="360"/>
        <w:ind w:firstLine="482"/>
        <w:jc w:val="both"/>
      </w:pPr>
      <w:r>
        <w:rPr>
          <w:rFonts w:ascii="Times New Roman" w:hAnsi="Times New Roman" w:eastAsia="宋体"/>
          <w:b w:val="0"/>
          <w:sz w:val="24"/>
        </w:rPr>
        <w:t>发布日期：2026年7月7日</w:t>
      </w:r>
    </w:p>
    <w:p>
      <w:pPr>
        <w:spacing w:before="160" w:after="80" w:lineRule="auto" w:line="360"/>
        <w:jc w:val="left"/>
      </w:pPr>
      <w:r>
        <w:rPr>
          <w:rFonts w:ascii="Times New Roman" w:hAnsi="Times New Roman" w:eastAsia="宋体"/>
          <w:b/>
          <w:sz w:val="28"/>
        </w:rPr>
        <w:t>一、申请专业</w:t>
      </w:r>
    </w:p>
    <w:p>
      <w:pPr>
        <w:spacing w:after="80" w:lineRule="auto" w:line="360"/>
        <w:ind w:firstLine="482"/>
        <w:jc w:val="both"/>
      </w:pPr>
      <w:r>
        <w:rPr>
          <w:rFonts w:ascii="Times New Roman" w:hAnsi="Times New Roman" w:eastAsia="宋体"/>
          <w:b w:val="0"/>
          <w:sz w:val="24"/>
        </w:rPr>
        <w:t>我院“2026年学术开放日”涉及专业及方向包括：</w:t>
      </w:r>
    </w:p>
    <w:tbl>
      <w:tblPr>
        <w:tblStyle w:val="TableGrid"/>
        <w:tblW w:type="auto" w:w="0"/>
        <w:jc w:val="center"/>
        <w:tblLook w:firstColumn="1" w:firstRow="1" w:lastColumn="0" w:lastRow="0" w:noHBand="0" w:noVBand="1" w:val="04A0"/>
      </w:tblPr>
      <w:tblGrid>
        <w:gridCol w:w="2158"/>
        <w:gridCol w:w="2158"/>
        <w:gridCol w:w="2158"/>
        <w:gridCol w:w="2158"/>
      </w:tblGrid>
      <w:tr>
        <w:tc>
          <w:tcPr>
            <w:tcW w:type="dxa" w:w="2158"/>
          </w:tcPr>
          <w:p>
            <w:pPr>
              <w:spacing w:after="20" w:before="20"/>
            </w:pPr>
            <w:r/>
            <w:r>
              <w:rPr>
                <w:rFonts w:ascii="Times New Roman" w:hAnsi="Times New Roman" w:eastAsia="宋体"/>
                <w:b/>
                <w:sz w:val="21"/>
              </w:rPr>
              <w:t>类别</w:t>
            </w:r>
          </w:p>
        </w:tc>
        <w:tc>
          <w:tcPr>
            <w:tcW w:type="dxa" w:w="2158"/>
          </w:tcPr>
          <w:p>
            <w:pPr>
              <w:spacing w:after="20" w:before="20"/>
            </w:pPr>
            <w:r/>
            <w:r>
              <w:rPr>
                <w:rFonts w:ascii="Times New Roman" w:hAnsi="Times New Roman" w:eastAsia="宋体"/>
                <w:b/>
                <w:sz w:val="21"/>
              </w:rPr>
              <w:t>专业/领域</w:t>
            </w:r>
          </w:p>
        </w:tc>
        <w:tc>
          <w:tcPr>
            <w:tcW w:type="dxa" w:w="2158"/>
          </w:tcPr>
          <w:p>
            <w:pPr>
              <w:spacing w:after="20" w:before="20"/>
            </w:pPr>
            <w:r/>
            <w:r>
              <w:rPr>
                <w:rFonts w:ascii="Times New Roman" w:hAnsi="Times New Roman" w:eastAsia="宋体"/>
                <w:b/>
                <w:sz w:val="21"/>
              </w:rPr>
              <w:t>研究方向</w:t>
            </w:r>
          </w:p>
        </w:tc>
        <w:tc>
          <w:tcPr>
            <w:tcW w:type="dxa" w:w="2158"/>
          </w:tcPr>
          <w:p>
            <w:pPr>
              <w:spacing w:after="20" w:before="20"/>
            </w:pPr>
            <w:r/>
            <w:r>
              <w:rPr>
                <w:rFonts w:ascii="Times New Roman" w:hAnsi="Times New Roman" w:eastAsia="宋体"/>
                <w:b/>
                <w:sz w:val="21"/>
              </w:rPr>
              <w:t>学制</w:t>
            </w:r>
          </w:p>
        </w:tc>
      </w:tr>
      <w:tr>
        <w:tc>
          <w:tcPr>
            <w:tcW w:type="dxa" w:w="2158"/>
          </w:tcPr>
          <w:p>
            <w:pPr>
              <w:spacing w:after="20" w:before="20"/>
            </w:pPr>
            <w:r/>
            <w:r>
              <w:rPr>
                <w:rFonts w:ascii="Times New Roman" w:hAnsi="Times New Roman" w:eastAsia="宋体"/>
                <w:b w:val="0"/>
                <w:sz w:val="21"/>
              </w:rPr>
              <w:t>直博生</w:t>
            </w:r>
          </w:p>
        </w:tc>
        <w:tc>
          <w:tcPr>
            <w:tcW w:type="dxa" w:w="2158"/>
          </w:tcPr>
          <w:p>
            <w:pPr>
              <w:spacing w:after="20" w:before="20"/>
            </w:pPr>
            <w:r/>
            <w:r>
              <w:rPr>
                <w:rFonts w:ascii="Times New Roman" w:hAnsi="Times New Roman" w:eastAsia="宋体"/>
                <w:b w:val="0"/>
                <w:sz w:val="21"/>
              </w:rPr>
              <w:t>管理科学与工程（120100）</w:t>
            </w:r>
          </w:p>
        </w:tc>
        <w:tc>
          <w:tcPr>
            <w:tcW w:type="dxa" w:w="2158"/>
          </w:tcPr>
          <w:p>
            <w:pPr>
              <w:spacing w:after="20" w:before="20"/>
            </w:pPr>
            <w:r/>
            <w:r>
              <w:rPr>
                <w:rFonts w:ascii="Times New Roman" w:hAnsi="Times New Roman" w:eastAsia="宋体"/>
                <w:b w:val="0"/>
                <w:sz w:val="21"/>
              </w:rPr>
              <w:t>01管理决策与优化 02数据科学与智能管理 03数智工程管理 04运营与供应链管理 05城市复杂系统管理 06技术创新与管理 07风险与应急管理 08工业工程 09物流与交通管理 10资源与环境管理</w:t>
            </w:r>
          </w:p>
        </w:tc>
        <w:tc>
          <w:tcPr>
            <w:tcW w:type="dxa" w:w="2158"/>
          </w:tcPr>
          <w:p>
            <w:pPr>
              <w:spacing w:after="20" w:before="20"/>
            </w:pPr>
            <w:r/>
            <w:r>
              <w:rPr>
                <w:rFonts w:ascii="Times New Roman" w:hAnsi="Times New Roman" w:eastAsia="宋体"/>
                <w:b w:val="0"/>
                <w:sz w:val="21"/>
              </w:rPr>
              <w:t>学制5年</w:t>
            </w:r>
          </w:p>
        </w:tc>
      </w:tr>
      <w:tr>
        <w:tc>
          <w:tcPr>
            <w:tcW w:type="dxa" w:w="2158"/>
          </w:tcPr>
          <w:p>
            <w:pPr>
              <w:spacing w:after="20" w:before="20"/>
            </w:pPr>
            <w:r/>
            <w:r>
              <w:rPr>
                <w:rFonts w:ascii="Times New Roman" w:hAnsi="Times New Roman" w:eastAsia="宋体"/>
                <w:b w:val="0"/>
                <w:sz w:val="21"/>
              </w:rPr>
              <w:t>学术硕士</w:t>
            </w:r>
          </w:p>
        </w:tc>
        <w:tc>
          <w:tcPr>
            <w:tcW w:type="dxa" w:w="2158"/>
          </w:tcPr>
          <w:p>
            <w:pPr>
              <w:spacing w:after="20" w:before="20"/>
            </w:pPr>
            <w:r/>
            <w:r>
              <w:rPr>
                <w:rFonts w:ascii="Times New Roman" w:hAnsi="Times New Roman" w:eastAsia="宋体"/>
                <w:b w:val="0"/>
                <w:sz w:val="21"/>
              </w:rPr>
              <w:t>管理科学与工程（120100）</w:t>
            </w:r>
          </w:p>
        </w:tc>
        <w:tc>
          <w:tcPr>
            <w:tcW w:type="dxa" w:w="2158"/>
          </w:tcPr>
          <w:p>
            <w:pPr>
              <w:spacing w:after="20" w:before="20"/>
            </w:pPr>
            <w:r/>
            <w:r>
              <w:rPr>
                <w:rFonts w:ascii="Times New Roman" w:hAnsi="Times New Roman" w:eastAsia="宋体"/>
                <w:b w:val="0"/>
                <w:sz w:val="21"/>
              </w:rPr>
              <w:t>同上</w:t>
            </w:r>
          </w:p>
        </w:tc>
        <w:tc>
          <w:tcPr>
            <w:tcW w:type="dxa" w:w="2158"/>
          </w:tcPr>
          <w:p>
            <w:pPr>
              <w:spacing w:after="20" w:before="20"/>
            </w:pPr>
            <w:r/>
            <w:r>
              <w:rPr>
                <w:rFonts w:ascii="Times New Roman" w:hAnsi="Times New Roman" w:eastAsia="宋体"/>
                <w:b w:val="0"/>
                <w:sz w:val="21"/>
              </w:rPr>
              <w:t>学制3年</w:t>
            </w:r>
          </w:p>
        </w:tc>
      </w:tr>
      <w:tr>
        <w:tc>
          <w:tcPr>
            <w:tcW w:type="dxa" w:w="2158"/>
          </w:tcPr>
          <w:p>
            <w:pPr>
              <w:spacing w:after="20" w:before="20"/>
            </w:pPr>
            <w:r/>
            <w:r>
              <w:rPr>
                <w:rFonts w:ascii="Times New Roman" w:hAnsi="Times New Roman" w:eastAsia="宋体"/>
                <w:b w:val="0"/>
                <w:sz w:val="21"/>
              </w:rPr>
              <w:t>学术硕士</w:t>
            </w:r>
          </w:p>
        </w:tc>
        <w:tc>
          <w:tcPr>
            <w:tcW w:type="dxa" w:w="2158"/>
          </w:tcPr>
          <w:p>
            <w:pPr>
              <w:spacing w:after="20" w:before="20"/>
            </w:pPr>
            <w:r/>
            <w:r>
              <w:rPr>
                <w:rFonts w:ascii="Times New Roman" w:hAnsi="Times New Roman" w:eastAsia="宋体"/>
                <w:b w:val="0"/>
                <w:sz w:val="21"/>
              </w:rPr>
              <w:t>工程财务与造价管理（1201J1）</w:t>
            </w:r>
          </w:p>
        </w:tc>
        <w:tc>
          <w:tcPr>
            <w:tcW w:type="dxa" w:w="2158"/>
          </w:tcPr>
          <w:p>
            <w:pPr>
              <w:spacing w:after="20" w:before="20"/>
            </w:pPr>
            <w:r/>
            <w:r>
              <w:rPr>
                <w:rFonts w:ascii="Times New Roman" w:hAnsi="Times New Roman" w:eastAsia="宋体"/>
                <w:b w:val="0"/>
                <w:sz w:val="21"/>
              </w:rPr>
              <w:t>01工程财务管理 02工程项目投融资管理 03数字金融 04气候金融 05财务智能化 06工程造价信息化 07工程成本决策与优化</w:t>
            </w:r>
          </w:p>
        </w:tc>
        <w:tc>
          <w:tcPr>
            <w:tcW w:type="dxa" w:w="2158"/>
          </w:tcPr>
          <w:p>
            <w:pPr>
              <w:spacing w:after="20" w:before="20"/>
            </w:pPr>
            <w:r/>
            <w:r>
              <w:rPr>
                <w:rFonts w:ascii="Times New Roman" w:hAnsi="Times New Roman" w:eastAsia="宋体"/>
                <w:b w:val="0"/>
                <w:sz w:val="21"/>
              </w:rPr>
              <w:t>学制3年</w:t>
            </w:r>
          </w:p>
        </w:tc>
      </w:tr>
      <w:tr>
        <w:tc>
          <w:tcPr>
            <w:tcW w:type="dxa" w:w="2158"/>
          </w:tcPr>
          <w:p>
            <w:pPr>
              <w:spacing w:after="20" w:before="20"/>
            </w:pPr>
            <w:r/>
            <w:r>
              <w:rPr>
                <w:rFonts w:ascii="Times New Roman" w:hAnsi="Times New Roman" w:eastAsia="宋体"/>
                <w:b w:val="0"/>
                <w:sz w:val="21"/>
              </w:rPr>
              <w:t>专业硕士</w:t>
            </w:r>
          </w:p>
        </w:tc>
        <w:tc>
          <w:tcPr>
            <w:tcW w:type="dxa" w:w="2158"/>
          </w:tcPr>
          <w:p>
            <w:pPr>
              <w:spacing w:after="20" w:before="20"/>
            </w:pPr>
            <w:r/>
            <w:r>
              <w:rPr>
                <w:rFonts w:ascii="Times New Roman" w:hAnsi="Times New Roman" w:eastAsia="宋体"/>
                <w:b w:val="0"/>
                <w:sz w:val="21"/>
              </w:rPr>
              <w:t>土木水利（085900）</w:t>
            </w:r>
          </w:p>
        </w:tc>
        <w:tc>
          <w:tcPr>
            <w:tcW w:type="dxa" w:w="2158"/>
          </w:tcPr>
          <w:p>
            <w:pPr>
              <w:spacing w:after="20" w:before="20"/>
            </w:pPr>
            <w:r/>
            <w:r>
              <w:rPr>
                <w:rFonts w:ascii="Times New Roman" w:hAnsi="Times New Roman" w:eastAsia="宋体"/>
                <w:b w:val="0"/>
                <w:sz w:val="21"/>
              </w:rPr>
              <w:t>01工程项目复杂运营与管理 02人机协同与智能决策 03智能建造与数字孪生 04城市防灾与韧性提升 05智慧交通运营与决策 06建设工程碳中和</w:t>
            </w:r>
          </w:p>
        </w:tc>
        <w:tc>
          <w:tcPr>
            <w:tcW w:type="dxa" w:w="2158"/>
          </w:tcPr>
          <w:p>
            <w:pPr>
              <w:spacing w:after="20" w:before="20"/>
            </w:pPr>
            <w:r/>
            <w:r>
              <w:rPr>
                <w:rFonts w:ascii="Times New Roman" w:hAnsi="Times New Roman" w:eastAsia="宋体"/>
                <w:b w:val="0"/>
                <w:sz w:val="21"/>
              </w:rPr>
              <w:t>学制3年</w:t>
            </w:r>
          </w:p>
        </w:tc>
      </w:tr>
    </w:tbl>
    <w:p>
      <w:pPr>
        <w:spacing w:after="80" w:lineRule="auto" w:line="360"/>
        <w:ind w:firstLine="482"/>
        <w:jc w:val="both"/>
      </w:pPr>
      <w:r>
        <w:rPr>
          <w:rFonts w:ascii="Times New Roman" w:hAnsi="Times New Roman" w:eastAsia="宋体"/>
          <w:b w:val="0"/>
          <w:sz w:val="24"/>
        </w:rPr>
        <w:t>我校2027年研究生招生专业目录尚未正式发布，系统暂未开放“土木水利”专业选项。有意向填报土木水利专业的申请人，可先在系统现有可选专业目录中任选其一，同时须在附件1《重庆大学管理科学与房地产学院2026年学术开放日申请表》中明确填写意向专业“土木水利”，本次申请专业认定以申请表填报信息为准。</w:t>
      </w:r>
    </w:p>
    <w:p>
      <w:pPr>
        <w:spacing w:before="160" w:after="80" w:lineRule="auto" w:line="360"/>
        <w:jc w:val="left"/>
      </w:pPr>
      <w:r>
        <w:rPr>
          <w:rFonts w:ascii="Times New Roman" w:hAnsi="Times New Roman" w:eastAsia="宋体"/>
          <w:b/>
          <w:sz w:val="28"/>
        </w:rPr>
        <w:t>二、申请资格</w:t>
      </w:r>
    </w:p>
    <w:p>
      <w:pPr>
        <w:spacing w:after="80" w:lineRule="auto" w:line="360"/>
        <w:ind w:firstLine="482"/>
        <w:jc w:val="both"/>
      </w:pPr>
      <w:r>
        <w:rPr>
          <w:rFonts w:ascii="Times New Roman" w:hAnsi="Times New Roman" w:eastAsia="宋体"/>
          <w:b w:val="0"/>
          <w:sz w:val="24"/>
        </w:rPr>
        <w:t>1. 2027届应届优秀本科毕业生，能够获得所在学校的推免资格。专业不限，鼓励有较好数理专业基础的学生跨学科申报。</w:t>
      </w:r>
    </w:p>
    <w:p>
      <w:pPr>
        <w:spacing w:after="80" w:lineRule="auto" w:line="360"/>
        <w:ind w:firstLine="482"/>
        <w:jc w:val="both"/>
      </w:pPr>
      <w:r>
        <w:rPr>
          <w:rFonts w:ascii="Times New Roman" w:hAnsi="Times New Roman" w:eastAsia="宋体"/>
          <w:b w:val="0"/>
          <w:sz w:val="24"/>
        </w:rPr>
        <w:t>2. 政治立场端正，品德优良，诚实守信，治学严谨，身心健康；在校期间遵纪守法，无考试作弊、学术不端及其他违纪处分、违法记录。</w:t>
      </w:r>
    </w:p>
    <w:p>
      <w:pPr>
        <w:spacing w:after="80" w:lineRule="auto" w:line="360"/>
        <w:ind w:firstLine="482"/>
        <w:jc w:val="both"/>
      </w:pPr>
      <w:r>
        <w:rPr>
          <w:rFonts w:ascii="Times New Roman" w:hAnsi="Times New Roman" w:eastAsia="宋体"/>
          <w:b w:val="0"/>
          <w:sz w:val="24"/>
        </w:rPr>
        <w:t>3. 逻辑思维清晰，具备良好创新思维，以及综合分析问题和解决问题的能力。</w:t>
      </w:r>
    </w:p>
    <w:p>
      <w:pPr>
        <w:spacing w:after="80" w:lineRule="auto" w:line="360"/>
        <w:ind w:firstLine="482"/>
        <w:jc w:val="both"/>
      </w:pPr>
      <w:r>
        <w:rPr>
          <w:rFonts w:ascii="Times New Roman" w:hAnsi="Times New Roman" w:eastAsia="宋体"/>
          <w:b w:val="0"/>
          <w:sz w:val="24"/>
        </w:rPr>
        <w:t>4. 本科学业成绩优异，专业排名靠前；具备浓厚的学术研究兴趣和扎实的科研能力，英语综合运用能力良好。</w:t>
      </w:r>
    </w:p>
    <w:p>
      <w:pPr>
        <w:spacing w:before="160" w:after="80" w:lineRule="auto" w:line="360"/>
        <w:jc w:val="left"/>
      </w:pPr>
      <w:r>
        <w:rPr>
          <w:rFonts w:ascii="Times New Roman" w:hAnsi="Times New Roman" w:eastAsia="宋体"/>
          <w:b/>
          <w:sz w:val="28"/>
        </w:rPr>
        <w:t>三、申请材料</w:t>
      </w:r>
    </w:p>
    <w:p>
      <w:pPr>
        <w:spacing w:after="80" w:lineRule="auto" w:line="360"/>
        <w:ind w:firstLine="482"/>
        <w:jc w:val="both"/>
      </w:pPr>
      <w:r>
        <w:rPr>
          <w:rFonts w:ascii="Times New Roman" w:hAnsi="Times New Roman" w:eastAsia="宋体"/>
          <w:b w:val="0"/>
          <w:sz w:val="24"/>
        </w:rPr>
        <w:t>1. 申请人登录“重庆大学研究生招生服务系统”（网址：http://syk.cqu.edu.cn），准确填写各项个人信息、提交相关申请材料。申请截止时间为2026年7月2日12:00。</w:t>
      </w:r>
    </w:p>
    <w:p>
      <w:pPr>
        <w:spacing w:after="80" w:lineRule="auto" w:line="360"/>
        <w:ind w:firstLine="482"/>
        <w:jc w:val="both"/>
      </w:pPr>
      <w:r>
        <w:rPr>
          <w:rFonts w:ascii="Times New Roman" w:hAnsi="Times New Roman" w:eastAsia="宋体"/>
          <w:b w:val="0"/>
          <w:sz w:val="24"/>
        </w:rPr>
        <w:t>2. 申请材料：《重庆大学管理科学与房地产学院2026年学术开放日申请表》（附件1）。</w:t>
      </w:r>
    </w:p>
    <w:p>
      <w:pPr>
        <w:spacing w:after="80" w:lineRule="auto" w:line="360"/>
        <w:ind w:firstLine="482"/>
        <w:jc w:val="both"/>
      </w:pPr>
      <w:r>
        <w:rPr>
          <w:rFonts w:ascii="Times New Roman" w:hAnsi="Times New Roman" w:eastAsia="宋体"/>
          <w:b w:val="0"/>
          <w:sz w:val="24"/>
        </w:rPr>
        <w:t>3. 注：请将附件1（申请表&amp;自荐信）及证明材料整合为1个PDF上传系统。申请材料未被审核时，申请人可自行在系统修改，若因材料已审核或因其他原因导致无法自行在系统修改材料时，请发送邮件至邮箱：gkyjs@cqu.edu.cn，邮件名为姓名-预推免申请材料退回，邮件内容须包含申请人姓名、申请编号、需退回原因。</w:t>
      </w:r>
    </w:p>
    <w:p>
      <w:pPr>
        <w:spacing w:before="160" w:after="80" w:lineRule="auto" w:line="360"/>
        <w:jc w:val="left"/>
      </w:pPr>
      <w:r>
        <w:rPr>
          <w:rFonts w:ascii="Times New Roman" w:hAnsi="Times New Roman" w:eastAsia="宋体"/>
          <w:b/>
          <w:sz w:val="28"/>
        </w:rPr>
        <w:t>四、活动流程</w:t>
      </w:r>
    </w:p>
    <w:p>
      <w:pPr>
        <w:spacing w:after="80" w:lineRule="auto" w:line="360"/>
        <w:ind w:firstLine="482"/>
        <w:jc w:val="both"/>
      </w:pPr>
      <w:r>
        <w:rPr>
          <w:rFonts w:ascii="Times New Roman" w:hAnsi="Times New Roman" w:eastAsia="宋体"/>
          <w:b w:val="0"/>
          <w:sz w:val="24"/>
        </w:rPr>
        <w:t>学院将对申请人提交的材料进行审核评价，确定邀请人员名单后，通过招生服务系统及邮件发送学术开放日活动邀请。本次学术开放日的开展方式为线上线下同步进行，重庆大学学生线下参加，其他高校学生线上参加。</w:t>
      </w:r>
    </w:p>
    <w:p>
      <w:pPr>
        <w:spacing w:before="160" w:after="80" w:lineRule="auto" w:line="360"/>
        <w:jc w:val="left"/>
      </w:pPr>
      <w:r>
        <w:rPr>
          <w:rFonts w:ascii="Times New Roman" w:hAnsi="Times New Roman" w:eastAsia="宋体"/>
          <w:b/>
          <w:sz w:val="28"/>
        </w:rPr>
        <w:t>五、费用说明</w:t>
      </w:r>
    </w:p>
    <w:p>
      <w:pPr>
        <w:spacing w:after="80" w:lineRule="auto" w:line="360"/>
        <w:ind w:firstLine="482"/>
        <w:jc w:val="both"/>
      </w:pPr>
      <w:r>
        <w:rPr>
          <w:rFonts w:ascii="Times New Roman" w:hAnsi="Times New Roman" w:eastAsia="宋体"/>
          <w:b w:val="0"/>
          <w:sz w:val="24"/>
        </w:rPr>
        <w:t>本次活动不收取任何费用。</w:t>
      </w:r>
    </w:p>
    <w:p>
      <w:pPr>
        <w:spacing w:before="160" w:after="80" w:lineRule="auto" w:line="360"/>
        <w:jc w:val="left"/>
      </w:pPr>
      <w:r>
        <w:rPr>
          <w:rFonts w:ascii="Times New Roman" w:hAnsi="Times New Roman" w:eastAsia="宋体"/>
          <w:b/>
          <w:sz w:val="28"/>
        </w:rPr>
        <w:t>六、奖励政策</w:t>
      </w:r>
    </w:p>
    <w:p>
      <w:pPr>
        <w:spacing w:after="80" w:lineRule="auto" w:line="360"/>
        <w:ind w:firstLine="482"/>
        <w:jc w:val="both"/>
      </w:pPr>
      <w:r>
        <w:rPr>
          <w:rFonts w:ascii="Times New Roman" w:hAnsi="Times New Roman" w:eastAsia="宋体"/>
          <w:b w:val="0"/>
          <w:sz w:val="24"/>
        </w:rPr>
        <w:t>获得本次学术开放日活动邀请的申请人，可直接获得我院9月推免考核面试资格，并在录取时予以优先重点考虑，完成相关待录取手续后可享受以下奖励：</w:t>
      </w:r>
    </w:p>
    <w:p>
      <w:pPr>
        <w:spacing w:after="80" w:lineRule="auto" w:line="360"/>
        <w:ind w:firstLine="482"/>
        <w:jc w:val="both"/>
      </w:pPr>
      <w:r>
        <w:rPr>
          <w:rFonts w:ascii="Times New Roman" w:hAnsi="Times New Roman" w:eastAsia="宋体"/>
          <w:b w:val="0"/>
          <w:sz w:val="24"/>
        </w:rPr>
        <w:t>1. 推免生在入学时可获学校A等学业奖学金，在读期间可享受学校研究生助学金，具体以学校实施办法为准；</w:t>
      </w:r>
    </w:p>
    <w:p>
      <w:pPr>
        <w:spacing w:after="80" w:lineRule="auto" w:line="360"/>
        <w:ind w:firstLine="482"/>
        <w:jc w:val="both"/>
      </w:pPr>
      <w:r>
        <w:rPr>
          <w:rFonts w:ascii="Times New Roman" w:hAnsi="Times New Roman" w:eastAsia="宋体"/>
          <w:b w:val="0"/>
          <w:sz w:val="24"/>
        </w:rPr>
        <w:t>2. 直博生可获得1万元重庆大学推免研究生奖学金，学院额外给予直博生最高4万元科研经费支持；</w:t>
      </w:r>
    </w:p>
    <w:p>
      <w:pPr>
        <w:spacing w:after="80" w:lineRule="auto" w:line="360"/>
        <w:ind w:firstLine="482"/>
        <w:jc w:val="both"/>
      </w:pPr>
      <w:r>
        <w:rPr>
          <w:rFonts w:ascii="Times New Roman" w:hAnsi="Times New Roman" w:eastAsia="宋体"/>
          <w:b w:val="0"/>
          <w:sz w:val="24"/>
        </w:rPr>
        <w:t>3. 在读期间可优先获得学校研究生创新计划项目等研究生科研资助项目支持；</w:t>
      </w:r>
    </w:p>
    <w:p>
      <w:pPr>
        <w:spacing w:after="80" w:lineRule="auto" w:line="360"/>
        <w:ind w:firstLine="482"/>
        <w:jc w:val="both"/>
      </w:pPr>
      <w:r>
        <w:rPr>
          <w:rFonts w:ascii="Times New Roman" w:hAnsi="Times New Roman" w:eastAsia="宋体"/>
          <w:b w:val="0"/>
          <w:sz w:val="24"/>
        </w:rPr>
        <w:t>4. 可优先获得硕博连读资格；</w:t>
      </w:r>
    </w:p>
    <w:p>
      <w:pPr>
        <w:spacing w:after="80" w:lineRule="auto" w:line="360"/>
        <w:ind w:firstLine="482"/>
        <w:jc w:val="both"/>
      </w:pPr>
      <w:r>
        <w:rPr>
          <w:rFonts w:ascii="Times New Roman" w:hAnsi="Times New Roman" w:eastAsia="宋体"/>
          <w:b w:val="0"/>
          <w:sz w:val="24"/>
        </w:rPr>
        <w:t>5. 同等条件下，优先资助参加学院组织的出国（境）冬（夏）令营计划；</w:t>
      </w:r>
    </w:p>
    <w:p>
      <w:pPr>
        <w:spacing w:after="80" w:lineRule="auto" w:line="360"/>
        <w:ind w:firstLine="482"/>
        <w:jc w:val="both"/>
      </w:pPr>
      <w:r>
        <w:rPr>
          <w:rFonts w:ascii="Times New Roman" w:hAnsi="Times New Roman" w:eastAsia="宋体"/>
          <w:b w:val="0"/>
          <w:sz w:val="24"/>
        </w:rPr>
        <w:t>现有奖助政策如有调整，或还有其他奖助学金政策将另行通知。</w:t>
      </w:r>
    </w:p>
    <w:p>
      <w:pPr>
        <w:spacing w:before="160" w:after="80" w:lineRule="auto" w:line="360"/>
        <w:jc w:val="left"/>
      </w:pPr>
      <w:r>
        <w:rPr>
          <w:rFonts w:ascii="Times New Roman" w:hAnsi="Times New Roman" w:eastAsia="宋体"/>
          <w:b/>
          <w:sz w:val="28"/>
        </w:rPr>
        <w:t>七、联系方式</w:t>
      </w:r>
    </w:p>
    <w:p>
      <w:pPr>
        <w:spacing w:after="80" w:lineRule="auto" w:line="360"/>
        <w:ind w:firstLine="482"/>
        <w:jc w:val="both"/>
      </w:pPr>
      <w:r>
        <w:rPr>
          <w:rFonts w:ascii="Times New Roman" w:hAnsi="Times New Roman" w:eastAsia="宋体"/>
          <w:b w:val="0"/>
          <w:sz w:val="24"/>
        </w:rPr>
        <w:t>如有关于本次活动的疑问，请联系学院研究生教务办公室。</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