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[名单2]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2026年拟招收全日制、非定向硕士研究生共71人（含专业学位11人），其中包括推免生34名，不超过年度招生计划总数的50%。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水利工程、土木工程两个一级学科硕士学位授权点及土木水利专业学位授权点（具体专业详见附件“长江科学院2026年硕士研究生统招（推免）专业目录”）。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总分为100分，内容包括专业知识、英语水平及综合素养等，由各培养单位负责组织实施。其中，专业知识考查占复试总成绩的60%，英语水平考查占复试总成绩的20%，综合素养考查占复试总成绩的20%。录取根据考生复试总成绩择优确定，拟录取名单报院研究生招生工作领导小组审定后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拟录取名单经审定后在我院官网公示，具体公示周期未在简章中载明。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推免生经录取后在规定的学制内毕业免收学费。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学制为3年，研究生一年级在河海大学学习基础课程，研究生二、三年级在院内（湖北省武汉市）进行撰写论文及参与相关科研工作。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申请材料需发送至指定邮箱crsriyanbu@mail.crsri.cn，邮件命名“推免生报名－姓名”。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对弄虚作假者，一经发现立即取消免试读研资格并通知申请人所在学校。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