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公共卫生学院推荐2027届优秀本科毕业生免试攻读硕士研究生工作实施细则（试行）</w:t>
      </w:r>
    </w:p>
    <w:p>
      <w:pPr>
        <w:spacing w:line="360" w:lineRule="auto" w:before="160" w:after="80"/>
        <w:ind w:firstLine="0"/>
        <w:jc w:val="left"/>
      </w:pPr>
      <w:r>
        <w:rPr>
          <w:rFonts w:ascii="Times New Roman" w:hAnsi="Times New Roman" w:eastAsia="宋体"/>
          <w:b/>
          <w:sz w:val="28"/>
        </w:rPr>
        <w:t>第一章 总 则</w:t>
      </w:r>
    </w:p>
    <w:p>
      <w:pPr>
        <w:spacing w:line="360" w:lineRule="auto" w:before="0" w:after="80"/>
        <w:ind w:firstLine="482"/>
        <w:jc w:val="both"/>
      </w:pPr>
      <w:r>
        <w:rPr>
          <w:rFonts w:ascii="Times New Roman" w:hAnsi="Times New Roman" w:eastAsia="宋体"/>
          <w:b w:val="0"/>
          <w:sz w:val="24"/>
        </w:rPr>
        <w:t>第一条 为规范我院推荐优秀应届本科毕业生免试攻读硕士研究生（以下简称推免生）工作，进一步落实“立德树人”的根本任务，加大拔尖创新人才选拔培养力度，全面实施素质教育和“三创”教育，根据《武汉大学推荐优秀应届本科毕业生免试攻读硕士学位研究生工作管理办法》（武大本字〔2021〕13号）和《武汉大学推荐优秀2027届本科毕业生免试攻读硕士学位研究生综合素质测评及活动加分指导意见》（武大本函〔2026〕16号），结合我院实际，制定本实施细则。</w:t>
      </w:r>
    </w:p>
    <w:p>
      <w:pPr>
        <w:spacing w:line="360" w:lineRule="auto" w:before="0" w:after="80"/>
        <w:ind w:firstLine="482"/>
        <w:jc w:val="both"/>
      </w:pPr>
      <w:r>
        <w:rPr>
          <w:rFonts w:ascii="Times New Roman" w:hAnsi="Times New Roman" w:eastAsia="宋体"/>
          <w:b w:val="0"/>
          <w:sz w:val="24"/>
        </w:rPr>
        <w:t>第二条 本细则所称“免试”是指应届普通本科毕业生不必经过全国硕士研究生入学统一考试的初试，直接进入复试；本细则所称“推荐”是指按规定对学院优秀应届本科毕业生进行遴选。</w:t>
      </w:r>
    </w:p>
    <w:p>
      <w:pPr>
        <w:spacing w:line="360" w:lineRule="auto" w:before="0" w:after="80"/>
        <w:ind w:firstLine="482"/>
        <w:jc w:val="both"/>
      </w:pPr>
      <w:r>
        <w:rPr>
          <w:rFonts w:ascii="Times New Roman" w:hAnsi="Times New Roman" w:eastAsia="宋体"/>
          <w:b w:val="0"/>
          <w:sz w:val="24"/>
        </w:rPr>
        <w:t>第三条 坚持科学规范、公开透明原则，保证推免生工作公平、公正。</w:t>
      </w:r>
    </w:p>
    <w:p>
      <w:pPr>
        <w:spacing w:line="360" w:lineRule="auto" w:before="0" w:after="80"/>
        <w:ind w:firstLine="482"/>
        <w:jc w:val="both"/>
      </w:pPr>
      <w:r>
        <w:rPr>
          <w:rFonts w:ascii="Times New Roman" w:hAnsi="Times New Roman" w:eastAsia="宋体"/>
          <w:b w:val="0"/>
          <w:sz w:val="24"/>
        </w:rPr>
        <w:t>第四条 坚持德智体美劳全面衡量，以德为先，把学生思想品德考核作为推免生遴选的重要内容和录取的重要依据。思想品德考核不合格者不予推荐录取。</w:t>
      </w:r>
    </w:p>
    <w:p>
      <w:pPr>
        <w:spacing w:line="360" w:lineRule="auto" w:before="0" w:after="80"/>
        <w:ind w:firstLine="482"/>
        <w:jc w:val="both"/>
      </w:pPr>
      <w:r>
        <w:rPr>
          <w:rFonts w:ascii="Times New Roman" w:hAnsi="Times New Roman" w:eastAsia="宋体"/>
          <w:b w:val="0"/>
          <w:sz w:val="24"/>
        </w:rPr>
        <w:t>第五条 推免生工作由学院推免生工作小组全面领导。</w:t>
      </w:r>
    </w:p>
    <w:p>
      <w:pPr>
        <w:spacing w:line="360" w:lineRule="auto" w:before="160" w:after="80"/>
        <w:ind w:firstLine="0"/>
        <w:jc w:val="left"/>
      </w:pPr>
      <w:r>
        <w:rPr>
          <w:rFonts w:ascii="Times New Roman" w:hAnsi="Times New Roman" w:eastAsia="宋体"/>
          <w:b/>
          <w:sz w:val="28"/>
        </w:rPr>
        <w:t>第二章 推 荐</w:t>
      </w:r>
    </w:p>
    <w:p>
      <w:pPr>
        <w:spacing w:line="360" w:lineRule="auto" w:before="0" w:after="80"/>
        <w:ind w:firstLine="482"/>
        <w:jc w:val="both"/>
      </w:pPr>
      <w:r>
        <w:rPr>
          <w:rFonts w:ascii="Times New Roman" w:hAnsi="Times New Roman" w:eastAsia="宋体"/>
          <w:b w:val="0"/>
          <w:sz w:val="24"/>
        </w:rPr>
        <w:t>第六条 推免生应具备以下基本条件：</w:t>
      </w:r>
    </w:p>
    <w:p>
      <w:pPr>
        <w:spacing w:line="360" w:lineRule="auto" w:before="160" w:after="80"/>
        <w:ind w:firstLine="0"/>
        <w:jc w:val="left"/>
      </w:pPr>
      <w:r>
        <w:rPr>
          <w:rFonts w:ascii="Times New Roman" w:hAnsi="Times New Roman" w:eastAsia="宋体"/>
          <w:b/>
          <w:sz w:val="28"/>
        </w:rPr>
        <w:t>（一）纳入国家普通本科招生计划录取的应届本科毕业生（不含第二学士学位）。</w:t>
      </w:r>
    </w:p>
    <w:p>
      <w:pPr>
        <w:spacing w:line="360" w:lineRule="auto" w:before="160" w:after="80"/>
        <w:ind w:firstLine="0"/>
        <w:jc w:val="left"/>
      </w:pPr>
      <w:r>
        <w:rPr>
          <w:rFonts w:ascii="Times New Roman" w:hAnsi="Times New Roman" w:eastAsia="宋体"/>
          <w:b/>
          <w:sz w:val="28"/>
        </w:rPr>
        <w:t>（二）具有高尚的爱国主义情操和集体主义精神，社会主义信念坚定，社会责任感强，积极向上，身心健康。</w:t>
      </w:r>
    </w:p>
    <w:p>
      <w:pPr>
        <w:spacing w:line="360" w:lineRule="auto" w:before="160" w:after="80"/>
        <w:ind w:firstLine="0"/>
        <w:jc w:val="left"/>
      </w:pPr>
      <w:r>
        <w:rPr>
          <w:rFonts w:ascii="Times New Roman" w:hAnsi="Times New Roman" w:eastAsia="宋体"/>
          <w:b/>
          <w:sz w:val="28"/>
        </w:rPr>
        <w:t>（三）勤奋学习，刻苦钻研；学术研究兴趣浓厚，有较强的创新意识、创新能力、科研潜质和专业发展能力。</w:t>
      </w:r>
    </w:p>
    <w:p>
      <w:pPr>
        <w:spacing w:line="360" w:lineRule="auto" w:before="160" w:after="80"/>
        <w:ind w:firstLine="0"/>
        <w:jc w:val="left"/>
      </w:pPr>
      <w:r>
        <w:rPr>
          <w:rFonts w:ascii="Times New Roman" w:hAnsi="Times New Roman" w:eastAsia="宋体"/>
          <w:b/>
          <w:sz w:val="28"/>
        </w:rPr>
        <w:t>（四）诚实守信，学风端正，无考试作弊或其他学术不端记录。</w:t>
      </w:r>
    </w:p>
    <w:p>
      <w:pPr>
        <w:spacing w:line="360" w:lineRule="auto" w:before="160" w:after="80"/>
        <w:ind w:firstLine="0"/>
        <w:jc w:val="left"/>
      </w:pPr>
      <w:r>
        <w:rPr>
          <w:rFonts w:ascii="Times New Roman" w:hAnsi="Times New Roman" w:eastAsia="宋体"/>
          <w:b/>
          <w:sz w:val="28"/>
        </w:rPr>
        <w:t>（五）品行表现优良，无任何违法违纪受处分记录。</w:t>
      </w:r>
    </w:p>
    <w:p>
      <w:pPr>
        <w:spacing w:line="360" w:lineRule="auto" w:before="0" w:after="80"/>
        <w:ind w:firstLine="482"/>
        <w:jc w:val="both"/>
      </w:pPr>
      <w:r>
        <w:rPr>
          <w:rFonts w:ascii="Times New Roman" w:hAnsi="Times New Roman" w:eastAsia="宋体"/>
          <w:b w:val="0"/>
          <w:sz w:val="24"/>
        </w:rPr>
        <w:t>（六）学业成绩优异，无必修课程不及格；选修课不及格须重修通过，或选修学分达标满足毕业要求。全国大学英语六级考试425分及以上，或者雅思成绩6.5分及以上，或者TOEFL成绩90分及以上。</w:t>
      </w:r>
    </w:p>
    <w:p>
      <w:pPr>
        <w:spacing w:line="360" w:lineRule="auto" w:before="0" w:after="80"/>
        <w:ind w:firstLine="482"/>
        <w:jc w:val="both"/>
      </w:pPr>
      <w:r>
        <w:rPr>
          <w:rFonts w:ascii="Times New Roman" w:hAnsi="Times New Roman" w:eastAsia="宋体"/>
          <w:b w:val="0"/>
          <w:sz w:val="24"/>
        </w:rPr>
        <w:t>（七）因转专业或身体原因等导致转年级、休复学的学生可以参加推免，因学习成绩不佳导致转年级、休复学等情况的学生，不得参加推免。有参军入伍服兵役、参加志愿服务、到国际组织实习等活动的，同等条件下可优先考虑。</w:t>
      </w:r>
    </w:p>
    <w:p>
      <w:pPr>
        <w:spacing w:line="360" w:lineRule="auto" w:before="0" w:after="80"/>
        <w:ind w:firstLine="482"/>
        <w:jc w:val="both"/>
      </w:pPr>
      <w:r>
        <w:rPr>
          <w:rFonts w:ascii="Times New Roman" w:hAnsi="Times New Roman" w:eastAsia="宋体"/>
          <w:b w:val="0"/>
          <w:sz w:val="24"/>
        </w:rPr>
        <w:t>（八）综合素质测评合格。根据《武汉大学公共卫生学院推免综合素质评分表》（见附件1），对学生的德、智、体、美、劳等进行考察和评分，总分不合格者（低于60分）或者单项不合格（低于该计分项满分的60%）的学生不予推荐。</w:t>
      </w:r>
    </w:p>
    <w:p>
      <w:pPr>
        <w:spacing w:line="360" w:lineRule="auto" w:before="160" w:after="80"/>
        <w:ind w:firstLine="0"/>
        <w:jc w:val="left"/>
      </w:pPr>
      <w:r>
        <w:rPr>
          <w:rFonts w:ascii="Times New Roman" w:hAnsi="Times New Roman" w:eastAsia="宋体"/>
          <w:b/>
          <w:sz w:val="28"/>
        </w:rPr>
        <w:t>（九）预计能正常本科毕业并获得学士学位。</w:t>
      </w:r>
    </w:p>
    <w:p>
      <w:pPr>
        <w:spacing w:line="360" w:lineRule="auto" w:before="120" w:after="60"/>
        <w:ind w:firstLine="0"/>
        <w:jc w:val="left"/>
      </w:pPr>
      <w:r>
        <w:rPr>
          <w:rFonts w:ascii="Times New Roman" w:hAnsi="Times New Roman" w:eastAsia="宋体"/>
          <w:b/>
          <w:sz w:val="24"/>
        </w:rPr>
        <w:t>第七条 推荐工作程序</w:t>
      </w:r>
    </w:p>
    <w:p>
      <w:pPr>
        <w:spacing w:line="360" w:lineRule="auto" w:before="160" w:after="80"/>
        <w:ind w:firstLine="0"/>
        <w:jc w:val="left"/>
      </w:pPr>
      <w:r>
        <w:rPr>
          <w:rFonts w:ascii="Times New Roman" w:hAnsi="Times New Roman" w:eastAsia="宋体"/>
          <w:b/>
          <w:sz w:val="28"/>
        </w:rPr>
        <w:t>（一）学院在院网公布推免生工作实施细则和推免生工作小组名单。</w:t>
      </w:r>
    </w:p>
    <w:p>
      <w:pPr>
        <w:spacing w:line="360" w:lineRule="auto" w:before="160" w:after="80"/>
        <w:ind w:firstLine="0"/>
        <w:jc w:val="left"/>
      </w:pPr>
      <w:r>
        <w:rPr>
          <w:rFonts w:ascii="Times New Roman" w:hAnsi="Times New Roman" w:eastAsia="宋体"/>
          <w:b/>
          <w:sz w:val="28"/>
        </w:rPr>
        <w:t>（二）符合申请条件的我院学生向学院提出申请，在规定的时间内提交申请书和相关证明材料。</w:t>
      </w:r>
    </w:p>
    <w:p>
      <w:pPr>
        <w:spacing w:line="360" w:lineRule="auto" w:before="160" w:after="80"/>
        <w:ind w:firstLine="0"/>
        <w:jc w:val="left"/>
      </w:pPr>
      <w:r>
        <w:rPr>
          <w:rFonts w:ascii="Times New Roman" w:hAnsi="Times New Roman" w:eastAsia="宋体"/>
          <w:b/>
          <w:sz w:val="28"/>
        </w:rPr>
        <w:t>（三）学院组织对学生进行综合评价，核定综合评价得分。</w:t>
      </w:r>
    </w:p>
    <w:p>
      <w:pPr>
        <w:spacing w:line="360" w:lineRule="auto" w:before="0" w:after="80"/>
        <w:ind w:firstLine="482"/>
        <w:jc w:val="both"/>
      </w:pPr>
      <w:r>
        <w:rPr>
          <w:rFonts w:ascii="Times New Roman" w:hAnsi="Times New Roman" w:eastAsia="宋体"/>
          <w:b w:val="0"/>
          <w:sz w:val="24"/>
        </w:rPr>
        <w:t>（四）根据学校分配给我院的推免生名额和学生的综合评价得分排名，择优确定初选名单后在学院网站公示（不少于10个工作日）。如有异议，应在公示期内据实反映，由学院推免工作小组受理后公布处理结果。受理后的结果如对之前公示内容变动的部分将另行公示10个工作日。</w:t>
      </w:r>
    </w:p>
    <w:p>
      <w:pPr>
        <w:spacing w:line="360" w:lineRule="auto" w:before="160" w:after="80"/>
        <w:ind w:firstLine="0"/>
        <w:jc w:val="left"/>
      </w:pPr>
      <w:r>
        <w:rPr>
          <w:rFonts w:ascii="Times New Roman" w:hAnsi="Times New Roman" w:eastAsia="宋体"/>
          <w:b/>
          <w:sz w:val="28"/>
        </w:rPr>
        <w:t>（五）推免生初选名单经学院审核盖章后，报学校推免生工作领导小组审定。</w:t>
      </w:r>
    </w:p>
    <w:p>
      <w:pPr>
        <w:spacing w:line="360" w:lineRule="auto" w:before="120" w:after="60"/>
        <w:ind w:firstLine="0"/>
        <w:jc w:val="left"/>
      </w:pPr>
      <w:r>
        <w:rPr>
          <w:rFonts w:ascii="Times New Roman" w:hAnsi="Times New Roman" w:eastAsia="宋体"/>
          <w:b/>
          <w:sz w:val="24"/>
        </w:rPr>
        <w:t>第八条 推免生综合评价</w:t>
      </w:r>
    </w:p>
    <w:p>
      <w:pPr>
        <w:spacing w:line="360" w:lineRule="auto" w:before="160" w:after="80"/>
        <w:ind w:firstLine="0"/>
        <w:jc w:val="left"/>
      </w:pPr>
      <w:r>
        <w:rPr>
          <w:rFonts w:ascii="Times New Roman" w:hAnsi="Times New Roman" w:eastAsia="宋体"/>
          <w:b/>
          <w:sz w:val="28"/>
        </w:rPr>
        <w:t>（一）综合评价得分计算</w:t>
      </w:r>
    </w:p>
    <w:p>
      <w:pPr>
        <w:spacing w:line="360" w:lineRule="auto" w:before="0" w:after="80"/>
        <w:ind w:firstLine="482"/>
        <w:jc w:val="both"/>
      </w:pPr>
      <w:r>
        <w:rPr>
          <w:rFonts w:ascii="Times New Roman" w:hAnsi="Times New Roman" w:eastAsia="宋体"/>
          <w:b w:val="0"/>
          <w:sz w:val="24"/>
        </w:rPr>
        <w:t>综合评价得分 = 总成绩平均绩点×90% + 学术活动绩点（加分项）×10%。学院教学与科研管理办公室对总成绩平均绩点和学术活动绩点（加分项）相关材料进行审核。</w:t>
      </w:r>
    </w:p>
    <w:p>
      <w:pPr>
        <w:spacing w:line="360" w:lineRule="auto" w:before="0" w:after="80"/>
        <w:ind w:firstLine="482"/>
        <w:jc w:val="both"/>
      </w:pPr>
      <w:r>
        <w:rPr>
          <w:rFonts w:ascii="Times New Roman" w:hAnsi="Times New Roman" w:eastAsia="宋体"/>
          <w:b w:val="0"/>
          <w:sz w:val="24"/>
        </w:rPr>
        <w:t>总成绩平均绩点：除体育和军事理论以外，专业培养方案中的所有必修课成绩平均绩点，最高成绩平均绩点为4.0。缓考课程按正常成绩计算绩点，及格重修课程按第一次成绩计算绩点。</w:t>
      </w:r>
    </w:p>
    <w:p>
      <w:pPr>
        <w:spacing w:line="360" w:lineRule="auto" w:before="0" w:after="80"/>
        <w:ind w:firstLine="482"/>
        <w:jc w:val="both"/>
      </w:pPr>
      <w:r>
        <w:rPr>
          <w:rFonts w:ascii="Times New Roman" w:hAnsi="Times New Roman" w:eastAsia="宋体"/>
          <w:b w:val="0"/>
          <w:sz w:val="24"/>
        </w:rPr>
        <w:t>学术活动绩点（加分项）：根据学院评审后的加分项进行计算，最高学术活动绩点为4.0。</w:t>
      </w:r>
    </w:p>
    <w:p>
      <w:pPr>
        <w:spacing w:line="360" w:lineRule="auto" w:before="0" w:after="80"/>
        <w:ind w:firstLine="482"/>
        <w:jc w:val="both"/>
      </w:pPr>
      <w:r>
        <w:rPr>
          <w:rFonts w:ascii="Times New Roman" w:hAnsi="Times New Roman" w:eastAsia="宋体"/>
          <w:b w:val="0"/>
          <w:sz w:val="24"/>
        </w:rPr>
        <w:t>（二）经艺术教育中心认定的有艺术特长的学生（既包含以高水平艺术团身份招录的学生，也包含在艺术方面有特长的普通学生），按总成绩平均绩点占90%、艺术专业活动等占10%的原则计算综合评价得分；经体育部认定的体育特长的学生（既包含以高水平运动队身份招录的学生，也包含在体育方面有特长的普通学生）按总成绩平均绩点占80%、体育专业活动等占20%的原则计算综合评价得分。</w:t>
      </w:r>
    </w:p>
    <w:p>
      <w:pPr>
        <w:spacing w:line="360" w:lineRule="auto" w:before="160" w:after="80"/>
        <w:ind w:firstLine="0"/>
        <w:jc w:val="left"/>
      </w:pPr>
      <w:r>
        <w:rPr>
          <w:rFonts w:ascii="Times New Roman" w:hAnsi="Times New Roman" w:eastAsia="宋体"/>
          <w:b/>
          <w:sz w:val="28"/>
        </w:rPr>
        <w:t>（三）每个学生只可在学术活动加分、体育专业活动加分和艺术专业活动加分三种加分途径选择一种进行加分，其他活动不予加分。</w:t>
      </w:r>
    </w:p>
    <w:p>
      <w:pPr>
        <w:spacing w:line="360" w:lineRule="auto" w:before="120" w:after="60"/>
        <w:ind w:firstLine="0"/>
        <w:jc w:val="left"/>
      </w:pPr>
      <w:r>
        <w:rPr>
          <w:rFonts w:ascii="Times New Roman" w:hAnsi="Times New Roman" w:eastAsia="宋体"/>
          <w:b/>
          <w:sz w:val="24"/>
        </w:rPr>
        <w:t>第九条 加分项审核认定</w:t>
      </w:r>
    </w:p>
    <w:p>
      <w:pPr>
        <w:spacing w:line="360" w:lineRule="auto" w:before="0" w:after="80"/>
        <w:ind w:firstLine="482"/>
        <w:jc w:val="both"/>
      </w:pPr>
      <w:r>
        <w:rPr>
          <w:rFonts w:ascii="Times New Roman" w:hAnsi="Times New Roman" w:eastAsia="宋体"/>
          <w:b w:val="0"/>
          <w:sz w:val="24"/>
        </w:rPr>
        <w:t>（一）学院成立推免加分项专家审核小组（相关学科副教授以上职称，一般不少于5人），对学生的论文、学科竞赛和专利等加分项内容进行审核鉴定，排除抄袭、造假、冒名及有名无实等情况，组织相关学生在一定范围内进行公开答辩并公示答辩结果。未通过审核鉴定或答辩的，不纳入推免综合评价成绩计算体系。</w:t>
      </w:r>
    </w:p>
    <w:p>
      <w:pPr>
        <w:spacing w:line="360" w:lineRule="auto" w:before="0" w:after="80"/>
        <w:ind w:firstLine="482"/>
        <w:jc w:val="both"/>
      </w:pPr>
      <w:r>
        <w:rPr>
          <w:rFonts w:ascii="Times New Roman" w:hAnsi="Times New Roman" w:eastAsia="宋体"/>
          <w:b w:val="0"/>
          <w:sz w:val="24"/>
        </w:rPr>
        <w:t>（二）加分项计算时间为入校后至申请推免当年6月30日止。申请加分项内容，需与医学相关。如果同一项成果活动获得不同级别奖励，按最高分计，不重复计算。对学生提交的多篇科研成果实行代表作评价，评价重点聚焦创新质量和个人贡献。</w:t>
      </w:r>
    </w:p>
    <w:p>
      <w:pPr>
        <w:spacing w:line="360" w:lineRule="auto" w:before="160" w:after="80"/>
        <w:ind w:firstLine="0"/>
        <w:jc w:val="left"/>
      </w:pPr>
      <w:r>
        <w:rPr>
          <w:rFonts w:ascii="Times New Roman" w:hAnsi="Times New Roman" w:eastAsia="宋体"/>
          <w:b/>
          <w:sz w:val="28"/>
        </w:rPr>
        <w:t>（三）学生与直系亲属或学历、职称、职务明显高于本人者合作的科研成果、竞赛奖项等仅作为参考，不纳入学生本人推免综合评价成绩计算体系，同等条件下可优先考虑。</w:t>
      </w:r>
    </w:p>
    <w:p>
      <w:pPr>
        <w:spacing w:line="360" w:lineRule="auto" w:before="120" w:after="60"/>
        <w:ind w:firstLine="0"/>
        <w:jc w:val="left"/>
      </w:pPr>
      <w:r>
        <w:rPr>
          <w:rFonts w:ascii="Times New Roman" w:hAnsi="Times New Roman" w:eastAsia="宋体"/>
          <w:b/>
          <w:sz w:val="24"/>
        </w:rPr>
        <w:t>第十条 加分项分值计算</w:t>
      </w:r>
    </w:p>
    <w:p>
      <w:pPr>
        <w:spacing w:line="360" w:lineRule="auto" w:before="160" w:after="80"/>
        <w:ind w:firstLine="0"/>
        <w:jc w:val="left"/>
      </w:pPr>
      <w:r>
        <w:rPr>
          <w:rFonts w:ascii="Times New Roman" w:hAnsi="Times New Roman" w:eastAsia="宋体"/>
          <w:b/>
          <w:sz w:val="28"/>
        </w:rPr>
        <w:t>（一）发表论文加分：</w:t>
      </w:r>
    </w:p>
    <w:p>
      <w:pPr>
        <w:spacing w:line="360" w:lineRule="auto" w:before="0" w:after="80"/>
        <w:ind w:firstLine="482"/>
        <w:jc w:val="both"/>
      </w:pPr>
      <w:r>
        <w:rPr>
          <w:rFonts w:ascii="Times New Roman" w:hAnsi="Times New Roman" w:eastAsia="宋体"/>
          <w:b w:val="0"/>
          <w:sz w:val="24"/>
        </w:rPr>
        <w:t>1. 仅限学生在本科阶段，以武汉大学公共卫生学院为第一完成单位、本人为独立作者或第一作者（含共同第一作者），发表与所学专业相关的科研论文。论文须发表于核心期刊及以上（限 CSCD、CSSCI、SCI、SSCI 收录期刊），不含综述、摘要类文章，且不含预警期刊及学术声誉不稳定期刊刊载的论文；或在学院认定的高水平国际学术会议上发表与专业相关的科研论文，并作口头报告。此项最多申报三项，发表论文可累计计算。预警期刊及学术声誉不稳定期刊名单详见附件 2，高水平国际学术会议名录详见附件 3。</w:t>
      </w:r>
    </w:p>
    <w:p>
      <w:pPr>
        <w:spacing w:line="360" w:lineRule="auto" w:before="0" w:after="80"/>
        <w:ind w:firstLine="482"/>
        <w:jc w:val="both"/>
      </w:pPr>
      <w:r>
        <w:rPr>
          <w:rFonts w:ascii="Times New Roman" w:hAnsi="Times New Roman" w:eastAsia="宋体"/>
          <w:b w:val="0"/>
          <w:sz w:val="24"/>
        </w:rPr>
        <w:t>2.中文论文须见正式期刊，英文论文须提供武汉大学图书馆论文检索报告；未见刊的SCI和SSCI论文须提供online、带DOI号论文清样和武汉大学图书馆期刊检索报告。SCI论文分区按中科院期刊分区标准。在高水平国际学术会议上发表论文，并作口头报告，须提供会议论文收录证明、会议通知、邀请函、口头报告证书等材料。</w:t>
      </w:r>
    </w:p>
    <w:p>
      <w:pPr>
        <w:spacing w:line="360" w:lineRule="auto" w:before="160" w:after="80"/>
        <w:ind w:firstLine="0"/>
        <w:jc w:val="left"/>
      </w:pPr>
      <w:r>
        <w:rPr>
          <w:rFonts w:ascii="Times New Roman" w:hAnsi="Times New Roman" w:eastAsia="宋体"/>
          <w:b/>
          <w:sz w:val="28"/>
        </w:rPr>
        <w:t>3.共同第一作者的情况，按共同第一作者人数进行均分。</w:t>
      </w:r>
    </w:p>
    <w:tbl>
      <w:tblPr>
        <w:tblStyle w:val="TableGrid"/>
        <w:tblW w:type="auto" w:w="0"/>
        <w:tblLook w:firstColumn="1" w:firstRow="1" w:lastColumn="0" w:lastRow="0" w:noHBand="0" w:noVBand="1" w:val="04A0"/>
      </w:tblPr>
      <w:tblGrid>
        <w:gridCol w:w="4317"/>
        <w:gridCol w:w="4317"/>
      </w:tblGrid>
      <w:tr>
        <w:tc>
          <w:tcPr>
            <w:tcW w:type="dxa" w:w="4317"/>
          </w:tcPr>
          <w:p>
            <w:pPr>
              <w:jc w:val="center"/>
            </w:pPr>
            <w:r>
              <w:rPr>
                <w:rFonts w:ascii="Times New Roman" w:hAnsi="Times New Roman" w:eastAsia="宋体"/>
                <w:b/>
                <w:sz w:val="21"/>
              </w:rPr>
              <w:t>等级</w:t>
            </w:r>
          </w:p>
        </w:tc>
        <w:tc>
          <w:tcPr>
            <w:tcW w:type="dxa" w:w="4317"/>
          </w:tcPr>
          <w:p>
            <w:pPr>
              <w:jc w:val="center"/>
            </w:pPr>
            <w:r>
              <w:rPr>
                <w:rFonts w:ascii="Times New Roman" w:hAnsi="Times New Roman" w:eastAsia="宋体"/>
                <w:b/>
                <w:sz w:val="21"/>
              </w:rPr>
              <w:t>最高分数/每篇（绩点）</w:t>
            </w:r>
          </w:p>
        </w:tc>
      </w:tr>
      <w:tr>
        <w:tc>
          <w:tcPr>
            <w:tcW w:type="dxa" w:w="4317"/>
          </w:tcPr>
          <w:p>
            <w:pPr>
              <w:jc w:val="center"/>
            </w:pPr>
            <w:r>
              <w:rPr>
                <w:rFonts w:ascii="Times New Roman" w:hAnsi="Times New Roman" w:eastAsia="宋体"/>
                <w:sz w:val="21"/>
              </w:rPr>
              <w:t>SCI一区</w:t>
            </w:r>
          </w:p>
        </w:tc>
        <w:tc>
          <w:tcPr>
            <w:tcW w:type="dxa" w:w="4317"/>
          </w:tcPr>
          <w:p>
            <w:pPr>
              <w:jc w:val="center"/>
            </w:pPr>
            <w:r>
              <w:rPr>
                <w:rFonts w:ascii="Times New Roman" w:hAnsi="Times New Roman" w:eastAsia="宋体"/>
                <w:sz w:val="21"/>
              </w:rPr>
              <w:t>100（0.4）</w:t>
            </w:r>
          </w:p>
        </w:tc>
      </w:tr>
      <w:tr>
        <w:tc>
          <w:tcPr>
            <w:tcW w:type="dxa" w:w="4317"/>
          </w:tcPr>
          <w:p>
            <w:pPr>
              <w:jc w:val="center"/>
            </w:pPr>
            <w:r>
              <w:rPr>
                <w:rFonts w:ascii="Times New Roman" w:hAnsi="Times New Roman" w:eastAsia="宋体"/>
                <w:sz w:val="21"/>
              </w:rPr>
              <w:t>SCI二区、SSCI一区</w:t>
            </w:r>
          </w:p>
        </w:tc>
        <w:tc>
          <w:tcPr>
            <w:tcW w:type="dxa" w:w="4317"/>
          </w:tcPr>
          <w:p>
            <w:pPr>
              <w:jc w:val="center"/>
            </w:pPr>
            <w:r>
              <w:rPr>
                <w:rFonts w:ascii="Times New Roman" w:hAnsi="Times New Roman" w:eastAsia="宋体"/>
                <w:sz w:val="21"/>
              </w:rPr>
              <w:t>80（0.32）</w:t>
            </w:r>
          </w:p>
        </w:tc>
      </w:tr>
      <w:tr>
        <w:tc>
          <w:tcPr>
            <w:tcW w:type="dxa" w:w="4317"/>
          </w:tcPr>
          <w:p>
            <w:pPr>
              <w:jc w:val="center"/>
            </w:pPr>
            <w:r>
              <w:rPr>
                <w:rFonts w:ascii="Times New Roman" w:hAnsi="Times New Roman" w:eastAsia="宋体"/>
                <w:sz w:val="21"/>
              </w:rPr>
              <w:t>SCI三区、SSCI二区</w:t>
            </w:r>
          </w:p>
        </w:tc>
        <w:tc>
          <w:tcPr>
            <w:tcW w:type="dxa" w:w="4317"/>
          </w:tcPr>
          <w:p>
            <w:pPr>
              <w:jc w:val="center"/>
            </w:pPr>
            <w:r>
              <w:rPr>
                <w:rFonts w:ascii="Times New Roman" w:hAnsi="Times New Roman" w:eastAsia="宋体"/>
                <w:sz w:val="21"/>
              </w:rPr>
              <w:t>60（0.24）</w:t>
            </w:r>
          </w:p>
        </w:tc>
      </w:tr>
    </w:tbl>
    <w:p/>
    <w:p>
      <w:pPr>
        <w:spacing w:line="360" w:lineRule="auto" w:before="120" w:after="60"/>
        <w:ind w:firstLine="0"/>
        <w:jc w:val="left"/>
      </w:pPr>
      <w:r>
        <w:rPr>
          <w:rFonts w:ascii="Times New Roman" w:hAnsi="Times New Roman" w:eastAsia="宋体"/>
          <w:b/>
          <w:sz w:val="24"/>
        </w:rPr>
        <w:t>SCI四区、其他SSCI、CSCD、CSSCI</w:t>
      </w:r>
    </w:p>
    <w:p>
      <w:pPr>
        <w:spacing w:line="360" w:lineRule="auto" w:before="0" w:after="80"/>
        <w:ind w:firstLine="482"/>
        <w:jc w:val="both"/>
      </w:pPr>
      <w:r>
        <w:rPr>
          <w:rFonts w:ascii="Times New Roman" w:hAnsi="Times New Roman" w:eastAsia="宋体"/>
          <w:b w:val="0"/>
          <w:sz w:val="24"/>
        </w:rPr>
        <w:t>50（0.20）</w:t>
      </w:r>
    </w:p>
    <w:p>
      <w:pPr>
        <w:spacing w:line="360" w:lineRule="auto" w:before="120" w:after="60"/>
        <w:ind w:firstLine="0"/>
        <w:jc w:val="left"/>
      </w:pPr>
      <w:r>
        <w:rPr>
          <w:rFonts w:ascii="Times New Roman" w:hAnsi="Times New Roman" w:eastAsia="宋体"/>
          <w:b/>
          <w:sz w:val="24"/>
        </w:rPr>
        <w:t>高水平国际学术会议发表论文及作口头报告</w:t>
      </w:r>
    </w:p>
    <w:p>
      <w:pPr>
        <w:spacing w:line="360" w:lineRule="auto" w:before="0" w:after="80"/>
        <w:ind w:firstLine="482"/>
        <w:jc w:val="both"/>
      </w:pPr>
      <w:r>
        <w:rPr>
          <w:rFonts w:ascii="Times New Roman" w:hAnsi="Times New Roman" w:eastAsia="宋体"/>
          <w:b w:val="0"/>
          <w:sz w:val="24"/>
        </w:rPr>
        <w:t>30（0.12）</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