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三峡大学计算机与信息学院2026届优秀应届本科毕业生免试攻读硕士学位研究生工作实施方案</w:t>
      </w:r>
    </w:p>
    <w:p>
      <w:pPr>
        <w:spacing w:after="80" w:lineRule="auto" w:line="360"/>
        <w:ind w:firstLine="482"/>
        <w:jc w:val="both"/>
      </w:pPr>
      <w:r>
        <w:rPr>
          <w:rFonts w:ascii="Times New Roman" w:hAnsi="Times New Roman" w:eastAsia="宋体"/>
          <w:b w:val="0"/>
          <w:sz w:val="24"/>
        </w:rPr>
        <w:t>三峡大学计算机与信息学院2026届优秀应届本科毕业生免试攻读硕士学位研究生工作实施方案，发布日期：2025-08-30。</w:t>
      </w:r>
    </w:p>
    <w:p>
      <w:pPr>
        <w:spacing w:after="80" w:lineRule="auto" w:line="360"/>
        <w:ind w:firstLine="482"/>
        <w:jc w:val="both"/>
      </w:pPr>
      <w:r>
        <w:rPr>
          <w:rFonts w:ascii="Times New Roman" w:hAnsi="Times New Roman" w:eastAsia="宋体"/>
          <w:b w:val="0"/>
          <w:sz w:val="24"/>
        </w:rPr>
        <w:t>发布日期：2025年8月30日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坚持“公开、公平、公正”原则，严格按程序规范操作，择优选拔勤奋学习、全面发展的优秀本科毕业生。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工作小组：组长任东、刘谊，副组长但志平、向敬安，成员文方青、唐庭龙、韩芳、张蕊、余肖生、汪方毅。</w:t>
      </w:r>
    </w:p>
    <w:p>
      <w:pPr>
        <w:spacing w:after="80" w:lineRule="auto" w:line="360"/>
        <w:ind w:firstLine="482"/>
        <w:jc w:val="both"/>
      </w:pPr>
      <w:r>
        <w:rPr>
          <w:rFonts w:ascii="Times New Roman" w:hAnsi="Times New Roman" w:eastAsia="宋体"/>
          <w:b w:val="0"/>
          <w:sz w:val="24"/>
        </w:rPr>
        <w:t>2. 专家审核小组：组长陈慈发，成员龚本灿、陈晓辉、张清河、夏平。</w:t>
      </w:r>
    </w:p>
    <w:p>
      <w:pPr>
        <w:spacing w:before="160" w:after="80" w:lineRule="auto" w:line="360"/>
        <w:jc w:val="left"/>
      </w:pPr>
      <w:r>
        <w:rPr>
          <w:rFonts w:ascii="Times New Roman" w:hAnsi="Times New Roman" w:eastAsia="宋体"/>
          <w:b/>
          <w:sz w:val="28"/>
        </w:rPr>
        <w:t>三、推免指标分配</w:t>
      </w:r>
    </w:p>
    <w:p>
      <w:pPr>
        <w:spacing w:after="80" w:lineRule="auto" w:line="360"/>
        <w:ind w:firstLine="482"/>
        <w:jc w:val="both"/>
      </w:pPr>
      <w:r>
        <w:rPr>
          <w:rFonts w:ascii="Times New Roman" w:hAnsi="Times New Roman" w:eastAsia="宋体"/>
          <w:b w:val="0"/>
          <w:sz w:val="24"/>
        </w:rPr>
        <w:t>1. 学校下达我院推免生基础指标32个，学院根据各专业2026届毕业生人数比例、专业建设及创新人才培养等实际情况确定各专业推免指标。</w:t>
      </w:r>
    </w:p>
    <w:p>
      <w:pPr>
        <w:spacing w:after="80" w:lineRule="auto" w:line="360"/>
        <w:ind w:firstLine="482"/>
        <w:jc w:val="both"/>
      </w:pPr>
      <w:r>
        <w:rPr>
          <w:rFonts w:ascii="Times New Roman" w:hAnsi="Times New Roman" w:eastAsia="宋体"/>
          <w:b w:val="0"/>
          <w:sz w:val="24"/>
        </w:rPr>
        <w:t>2. 各专业推免指标分配如下：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推免指标</w:t>
            </w:r>
          </w:p>
        </w:tc>
      </w:tr>
      <w:tr>
        <w:tc>
          <w:tcPr>
            <w:tcW w:type="dxa" w:w="4317"/>
          </w:tcPr>
          <w:p>
            <w:pPr>
              <w:spacing w:after="20" w:before="20"/>
            </w:pPr>
            <w:r/>
            <w:r>
              <w:rPr>
                <w:rFonts w:ascii="Times New Roman" w:hAnsi="Times New Roman" w:eastAsia="宋体"/>
                <w:b w:val="0"/>
                <w:sz w:val="21"/>
              </w:rPr>
              <w:t>计算机科学与技术</w:t>
            </w:r>
          </w:p>
        </w:tc>
        <w:tc>
          <w:tcPr>
            <w:tcW w:type="dxa" w:w="4317"/>
          </w:tcPr>
          <w:p>
            <w:pPr>
              <w:spacing w:after="20" w:before="20"/>
            </w:pPr>
            <w:r/>
            <w:r>
              <w:rPr>
                <w:rFonts w:ascii="Times New Roman" w:hAnsi="Times New Roman" w:eastAsia="宋体"/>
                <w:b w:val="0"/>
                <w:sz w:val="21"/>
              </w:rPr>
              <w:t>19个</w:t>
            </w:r>
          </w:p>
        </w:tc>
      </w:tr>
      <w:tr>
        <w:tc>
          <w:tcPr>
            <w:tcW w:type="dxa" w:w="4317"/>
          </w:tcPr>
          <w:p>
            <w:pPr>
              <w:spacing w:after="20" w:before="20"/>
            </w:pPr>
            <w:r/>
            <w:r>
              <w:rPr>
                <w:rFonts w:ascii="Times New Roman" w:hAnsi="Times New Roman" w:eastAsia="宋体"/>
                <w:b w:val="0"/>
                <w:sz w:val="21"/>
              </w:rPr>
              <w:t>数据科学与大数据技术</w:t>
            </w:r>
          </w:p>
        </w:tc>
        <w:tc>
          <w:tcPr>
            <w:tcW w:type="dxa" w:w="4317"/>
          </w:tcPr>
          <w:p>
            <w:pPr>
              <w:spacing w:after="20" w:before="20"/>
            </w:pPr>
            <w:r/>
            <w:r>
              <w:rPr>
                <w:rFonts w:ascii="Times New Roman" w:hAnsi="Times New Roman" w:eastAsia="宋体"/>
                <w:b w:val="0"/>
                <w:sz w:val="21"/>
              </w:rPr>
              <w:t>4个</w:t>
            </w:r>
          </w:p>
        </w:tc>
      </w:tr>
      <w:tr>
        <w:tc>
          <w:tcPr>
            <w:tcW w:type="dxa" w:w="4317"/>
          </w:tcPr>
          <w:p>
            <w:pPr>
              <w:spacing w:after="20" w:before="20"/>
            </w:pPr>
            <w:r/>
            <w:r>
              <w:rPr>
                <w:rFonts w:ascii="Times New Roman" w:hAnsi="Times New Roman" w:eastAsia="宋体"/>
                <w:b w:val="0"/>
                <w:sz w:val="21"/>
              </w:rPr>
              <w:t>通信工程</w:t>
            </w:r>
          </w:p>
        </w:tc>
        <w:tc>
          <w:tcPr>
            <w:tcW w:type="dxa" w:w="4317"/>
          </w:tcPr>
          <w:p>
            <w:pPr>
              <w:spacing w:after="20" w:before="20"/>
            </w:pPr>
            <w:r/>
            <w:r>
              <w:rPr>
                <w:rFonts w:ascii="Times New Roman" w:hAnsi="Times New Roman" w:eastAsia="宋体"/>
                <w:b w:val="0"/>
                <w:sz w:val="21"/>
              </w:rPr>
              <w:t>9个</w:t>
            </w:r>
          </w:p>
        </w:tc>
      </w:tr>
      <w:tr>
        <w:tc>
          <w:tcPr>
            <w:tcW w:type="dxa" w:w="4317"/>
          </w:tcPr>
          <w:p>
            <w:pPr>
              <w:spacing w:after="20" w:before="20"/>
            </w:pPr>
            <w:r/>
            <w:r>
              <w:rPr>
                <w:rFonts w:ascii="Times New Roman" w:hAnsi="Times New Roman" w:eastAsia="宋体"/>
                <w:b w:val="0"/>
                <w:sz w:val="21"/>
              </w:rPr>
              <w:t>总计</w:t>
            </w:r>
          </w:p>
        </w:tc>
        <w:tc>
          <w:tcPr>
            <w:tcW w:type="dxa" w:w="4317"/>
          </w:tcPr>
          <w:p>
            <w:pPr>
              <w:spacing w:after="20" w:before="20"/>
            </w:pPr>
            <w:r/>
            <w:r>
              <w:rPr>
                <w:rFonts w:ascii="Times New Roman" w:hAnsi="Times New Roman" w:eastAsia="宋体"/>
                <w:b w:val="0"/>
                <w:sz w:val="21"/>
              </w:rPr>
              <w:t>32个</w:t>
            </w:r>
          </w:p>
        </w:tc>
      </w:tr>
    </w:tbl>
    <w:p>
      <w:pPr>
        <w:spacing w:after="80" w:lineRule="auto" w:line="360"/>
        <w:ind w:firstLine="482"/>
        <w:jc w:val="both"/>
      </w:pPr>
      <w:r>
        <w:rPr>
          <w:rFonts w:ascii="Times New Roman" w:hAnsi="Times New Roman" w:eastAsia="宋体"/>
          <w:b w:val="0"/>
          <w:sz w:val="24"/>
        </w:rPr>
        <w:t>本通知依据《三峡大学推荐优秀应届本科毕业生免试攻读硕士学位研究生工作管理办法（修订版）》（三峡大教〔2022〕43号）、《三峡大学推荐优秀应届本科毕业生免试攻读硕士学位研究生工作管理办法》（修订）（三峡大教〔2024〕2号）及学校《关于开展推荐2026届优秀应届本科毕业生免试攻读硕士学位研究生工作的通知》制定，面向2026届推免工作。</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