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旅游学院推荐2026年优秀应届本科毕业生免试攻读硕士学位研究生实施细则</w:t>
      </w:r>
    </w:p>
    <w:p>
      <w:pPr>
        <w:spacing w:after="80" w:lineRule="auto" w:line="360"/>
        <w:ind w:firstLine="482"/>
        <w:jc w:val="both"/>
      </w:pPr>
      <w:r>
        <w:rPr>
          <w:rFonts w:ascii="Times New Roman" w:hAnsi="Times New Roman" w:eastAsia="宋体"/>
          <w:b w:val="0"/>
          <w:sz w:val="24"/>
        </w:rPr>
        <w:t>为规范学院推免工作管理，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及自治区教育厅有关要求，结合学校、学院工作实际，特制定本办法。</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第一条 旅游学院成立“学院推免生遴选工作领导小组”和“专家审核小组”，由院长、主管教学工作的院领导、主管学生工作的院领导、班主任、主要任课教师、辅导员、教学秘书及学院纪检人员等组成。负责落实初选、推荐等各环节的具体工作。凡有亲属参加选拔的人员，一律回避。</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第二条 推荐对象、就读专业</w:t>
      </w:r>
    </w:p>
    <w:p>
      <w:pPr>
        <w:spacing w:after="80" w:lineRule="auto" w:line="360"/>
        <w:ind w:firstLine="482"/>
        <w:jc w:val="both"/>
      </w:pPr>
      <w:r>
        <w:rPr>
          <w:rFonts w:ascii="Times New Roman" w:hAnsi="Times New Roman" w:eastAsia="宋体"/>
          <w:b w:val="0"/>
          <w:sz w:val="24"/>
        </w:rPr>
        <w:t>1. 推荐对象：本学院全日制应届本科毕业生。</w:t>
      </w:r>
    </w:p>
    <w:p>
      <w:pPr>
        <w:spacing w:before="160" w:after="80" w:lineRule="auto" w:line="360"/>
        <w:jc w:val="left"/>
      </w:pPr>
      <w:r>
        <w:rPr>
          <w:rFonts w:ascii="Times New Roman" w:hAnsi="Times New Roman" w:eastAsia="宋体"/>
          <w:b/>
          <w:sz w:val="28"/>
        </w:rPr>
        <w:t>三、推免工作原则</w:t>
      </w:r>
    </w:p>
    <w:p>
      <w:pPr>
        <w:spacing w:after="80" w:lineRule="auto" w:line="360"/>
        <w:ind w:firstLine="482"/>
        <w:jc w:val="both"/>
      </w:pPr>
      <w:r>
        <w:rPr>
          <w:rFonts w:ascii="Times New Roman" w:hAnsi="Times New Roman" w:eastAsia="宋体"/>
          <w:b w:val="0"/>
          <w:sz w:val="24"/>
        </w:rPr>
        <w:t>第三条 推免工作原则</w:t>
      </w:r>
    </w:p>
    <w:p>
      <w:pPr>
        <w:spacing w:after="80" w:lineRule="auto" w:line="360"/>
        <w:ind w:firstLine="482"/>
        <w:jc w:val="both"/>
      </w:pPr>
      <w:r>
        <w:rPr>
          <w:rFonts w:ascii="Times New Roman" w:hAnsi="Times New Roman" w:eastAsia="宋体"/>
          <w:b w:val="0"/>
          <w:sz w:val="24"/>
        </w:rPr>
        <w:t>1. 学院推免工作遵循公开、公平、公正的原则，择优选拔，保证质量。</w:t>
      </w:r>
    </w:p>
    <w:p>
      <w:pPr>
        <w:spacing w:after="80" w:lineRule="auto" w:line="360"/>
        <w:ind w:firstLine="482"/>
        <w:jc w:val="both"/>
      </w:pPr>
      <w:r>
        <w:rPr>
          <w:rFonts w:ascii="Times New Roman" w:hAnsi="Times New Roman" w:eastAsia="宋体"/>
          <w:b w:val="0"/>
          <w:sz w:val="24"/>
        </w:rPr>
        <w:t>2. 落实立德树人根本任务。坚持德智体美劳全面衡量，以德为先，把学生思想品德考核作为推免生遴选的重要依据，思想品德考核不合格者不予推荐录取。</w:t>
      </w:r>
    </w:p>
    <w:p>
      <w:pPr>
        <w:spacing w:after="80" w:lineRule="auto" w:line="360"/>
        <w:ind w:firstLine="482"/>
        <w:jc w:val="both"/>
      </w:pPr>
      <w:r>
        <w:rPr>
          <w:rFonts w:ascii="Times New Roman" w:hAnsi="Times New Roman" w:eastAsia="宋体"/>
          <w:b w:val="0"/>
          <w:sz w:val="24"/>
        </w:rPr>
        <w:t>3. 引导学生全面发展。重视学生本科阶段学习情况的过程性评价，将本科阶段学业综合成绩作为推免工作最基础的遴选指标。为防止推免工作产生应试倾向，不专门组织遴选推免生的考试（包括笔试、面试等）。将符合全面发展价值导向等因素纳入推免生遴选指标体系，综合评价学生的各方面表现。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pPr>
        <w:spacing w:after="80" w:lineRule="auto" w:line="360"/>
        <w:ind w:firstLine="482"/>
        <w:jc w:val="both"/>
      </w:pPr>
      <w:r>
        <w:rPr>
          <w:rFonts w:ascii="Times New Roman" w:hAnsi="Times New Roman" w:eastAsia="宋体"/>
          <w:b w:val="0"/>
          <w:sz w:val="24"/>
        </w:rPr>
        <w:t>4. 严格推免考核评分。学生推免考核由平均学分绩点成绩和综合能力考核组成。</w:t>
      </w:r>
    </w:p>
    <w:p>
      <w:pPr>
        <w:spacing w:after="80" w:lineRule="auto" w:line="360"/>
        <w:ind w:firstLine="482"/>
        <w:jc w:val="both"/>
      </w:pPr>
      <w:r>
        <w:rPr>
          <w:rFonts w:ascii="Times New Roman" w:hAnsi="Times New Roman" w:eastAsia="宋体"/>
          <w:b w:val="0"/>
          <w:sz w:val="24"/>
        </w:rPr>
        <w:t>5. 落实推免信息公开。学院推免生推荐选拔细则及遴选办法、推免工作小组成员、学生申诉渠道等信息将提前公布，学院择优确定的推免生候选人名单、学校对具备推免资格经专家审核小组同意的候选人名单进行公示。</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第四条 申请条件</w:t>
      </w:r>
    </w:p>
    <w:p>
      <w:pPr>
        <w:spacing w:after="80" w:lineRule="auto" w:line="360"/>
        <w:ind w:firstLine="482"/>
        <w:jc w:val="both"/>
      </w:pPr>
      <w:r>
        <w:rPr>
          <w:rFonts w:ascii="Times New Roman" w:hAnsi="Times New Roman" w:eastAsia="宋体"/>
          <w:b w:val="0"/>
          <w:sz w:val="24"/>
        </w:rPr>
        <w:t>推免生应为纳入国家普通本科招生计划录取的全日制应届本科毕业生，申请推免的基本条件符合《喀什大学推荐优秀应届本科毕业生免试攻读硕士学位研究生管理办法》要求，并同时具备以下基本条件：</w:t>
      </w:r>
    </w:p>
    <w:p>
      <w:pPr>
        <w:spacing w:after="80" w:lineRule="auto" w:line="360"/>
        <w:ind w:firstLine="482"/>
        <w:jc w:val="both"/>
      </w:pPr>
      <w:r>
        <w:rPr>
          <w:rFonts w:ascii="Times New Roman" w:hAnsi="Times New Roman" w:eastAsia="宋体"/>
          <w:b w:val="0"/>
          <w:sz w:val="24"/>
        </w:rPr>
        <w:t>1. 坚持以习近平新时代中国特色社会主义思想为指导，拥护中国共产党的领导，具有高尚的爱国主义情操和集体主义精神。维护祖国统一和民族团结，铸牢中华民族共同体意识，具有坚定的社会主义信念，社会责任感强。遵纪守法，积极向上，德智体美劳全面发展的社会主义建设者和接班人。</w:t>
      </w:r>
    </w:p>
    <w:p>
      <w:pPr>
        <w:spacing w:after="80" w:lineRule="auto" w:line="360"/>
        <w:ind w:firstLine="482"/>
        <w:jc w:val="both"/>
      </w:pPr>
      <w:r>
        <w:rPr>
          <w:rFonts w:ascii="Times New Roman" w:hAnsi="Times New Roman" w:eastAsia="宋体"/>
          <w:b w:val="0"/>
          <w:sz w:val="24"/>
        </w:rPr>
        <w:t>2. 学生诚实守信，学风端正，品行优良；勤奋学习，刻苦钻研，成绩优异；对学术研究兴趣浓厚，有较强的创新意识、创新能力和专业发展潜质；较好地掌握本学科的基础理论、专业知识和技能，已修满人才培养方案要求的前三年必修课程学分，无不合格的必修课程。成绩核计以学校教务系统成绩为准。</w:t>
      </w:r>
    </w:p>
    <w:p>
      <w:pPr>
        <w:spacing w:after="80" w:lineRule="auto" w:line="360"/>
        <w:ind w:firstLine="482"/>
        <w:jc w:val="both"/>
      </w:pPr>
      <w:r>
        <w:rPr>
          <w:rFonts w:ascii="Times New Roman" w:hAnsi="Times New Roman" w:eastAsia="宋体"/>
          <w:b w:val="0"/>
          <w:sz w:val="24"/>
        </w:rPr>
        <w:t>3. 已修读的必修课程无不及格记录，平均学分绩点排名位于本专业同年级的前35%，大学英语四级考试成绩大于等于425分。</w:t>
      </w:r>
    </w:p>
    <w:p>
      <w:pPr>
        <w:spacing w:after="80" w:lineRule="auto" w:line="360"/>
        <w:ind w:firstLine="482"/>
        <w:jc w:val="both"/>
      </w:pPr>
      <w:r>
        <w:rPr>
          <w:rFonts w:ascii="Times New Roman" w:hAnsi="Times New Roman" w:eastAsia="宋体"/>
          <w:b w:val="0"/>
          <w:sz w:val="24"/>
        </w:rPr>
        <w:t>4. 在校期间违反校纪校规的，不得申请。</w:t>
      </w:r>
    </w:p>
    <w:p>
      <w:pPr>
        <w:spacing w:before="160" w:after="80" w:lineRule="auto" w:line="360"/>
        <w:jc w:val="left"/>
      </w:pPr>
      <w:r>
        <w:rPr>
          <w:rFonts w:ascii="Times New Roman" w:hAnsi="Times New Roman" w:eastAsia="宋体"/>
          <w:b/>
          <w:sz w:val="28"/>
        </w:rPr>
        <w:t>五、考核评分标准</w:t>
      </w:r>
    </w:p>
    <w:p>
      <w:pPr>
        <w:spacing w:after="80" w:lineRule="auto" w:line="360"/>
        <w:ind w:firstLine="482"/>
        <w:jc w:val="both"/>
      </w:pPr>
      <w:r>
        <w:rPr>
          <w:rFonts w:ascii="Times New Roman" w:hAnsi="Times New Roman" w:eastAsia="宋体"/>
          <w:b w:val="0"/>
          <w:sz w:val="24"/>
        </w:rPr>
        <w:t>第五条 考核评分标准</w:t>
      </w:r>
    </w:p>
    <w:p>
      <w:pPr>
        <w:spacing w:after="80" w:lineRule="auto" w:line="360"/>
        <w:ind w:firstLine="482"/>
        <w:jc w:val="both"/>
      </w:pPr>
      <w:r>
        <w:rPr>
          <w:rFonts w:ascii="Times New Roman" w:hAnsi="Times New Roman" w:eastAsia="宋体"/>
          <w:b w:val="0"/>
          <w:sz w:val="24"/>
        </w:rPr>
        <w:t>1. 平均学分绩点成绩以学生就读前三年所有课程作为基准，权重为70%，计算方法：平均学分绩点成绩=50+平均学分绩点*10（满分100分），平均学分绩点成绩考核由教务处负责提供。</w:t>
      </w:r>
    </w:p>
    <w:p>
      <w:pPr>
        <w:spacing w:after="80" w:lineRule="auto" w:line="360"/>
        <w:ind w:firstLine="482"/>
        <w:jc w:val="both"/>
      </w:pPr>
      <w:r>
        <w:rPr>
          <w:rFonts w:ascii="Times New Roman" w:hAnsi="Times New Roman" w:eastAsia="宋体"/>
          <w:b w:val="0"/>
          <w:sz w:val="24"/>
        </w:rPr>
        <w:t>2. 综合能力考核权重30%，综合能力考核由学院学工办组织班主任，根据申报材料综合认定综合能力进行考核量化评分。综合能力考核包含竞赛获奖、科研成果、社会服务和荣誉表彰，赋分量化细则如下：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项目</w:t>
            </w:r>
          </w:p>
        </w:tc>
        <w:tc>
          <w:tcPr>
            <w:tcW w:type="dxa" w:w="1439"/>
          </w:tcPr>
          <w:p>
            <w:pPr>
              <w:spacing w:after="20" w:before="20"/>
            </w:pPr>
            <w:r/>
            <w:r>
              <w:rPr>
                <w:rFonts w:ascii="Times New Roman" w:hAnsi="Times New Roman" w:eastAsia="宋体"/>
                <w:b/>
                <w:sz w:val="21"/>
              </w:rPr>
              <w:t>类别</w:t>
            </w:r>
          </w:p>
        </w:tc>
        <w:tc>
          <w:tcPr>
            <w:tcW w:type="dxa" w:w="1439"/>
          </w:tcPr>
          <w:p>
            <w:pPr>
              <w:spacing w:after="20" w:before="20"/>
            </w:pPr>
            <w:r/>
            <w:r>
              <w:rPr>
                <w:rFonts w:ascii="Times New Roman" w:hAnsi="Times New Roman" w:eastAsia="宋体"/>
                <w:b/>
                <w:sz w:val="21"/>
              </w:rPr>
              <w:t>等级</w:t>
            </w:r>
          </w:p>
        </w:tc>
        <w:tc>
          <w:tcPr>
            <w:tcW w:type="dxa" w:w="1439"/>
          </w:tcPr>
          <w:p>
            <w:pPr>
              <w:spacing w:after="20" w:before="20"/>
            </w:pPr>
            <w:r/>
            <w:r>
              <w:rPr>
                <w:rFonts w:ascii="Times New Roman" w:hAnsi="Times New Roman" w:eastAsia="宋体"/>
                <w:b/>
                <w:sz w:val="21"/>
              </w:rPr>
              <w:t>要求</w:t>
            </w:r>
          </w:p>
        </w:tc>
        <w:tc>
          <w:tcPr>
            <w:tcW w:type="dxa" w:w="1439"/>
          </w:tcPr>
          <w:p>
            <w:pPr>
              <w:spacing w:after="20" w:before="20"/>
            </w:pPr>
            <w:r/>
            <w:r>
              <w:rPr>
                <w:rFonts w:ascii="Times New Roman" w:hAnsi="Times New Roman" w:eastAsia="宋体"/>
                <w:b/>
                <w:sz w:val="21"/>
              </w:rPr>
              <w:t>赋分</w:t>
            </w:r>
          </w:p>
        </w:tc>
        <w:tc>
          <w:tcPr>
            <w:tcW w:type="dxa" w:w="1439"/>
          </w:tcPr>
          <w:p>
            <w:pPr>
              <w:spacing w:after="20" w:before="20"/>
            </w:pPr>
            <w:r/>
            <w:r>
              <w:rPr>
                <w:rFonts w:ascii="Times New Roman" w:hAnsi="Times New Roman" w:eastAsia="宋体"/>
                <w:b/>
                <w:sz w:val="21"/>
              </w:rPr>
              <w:t>备注</w:t>
            </w:r>
          </w:p>
        </w:tc>
      </w:tr>
      <w:tr>
        <w:tc>
          <w:tcPr>
            <w:tcW w:type="dxa" w:w="1439"/>
          </w:tcPr>
          <w:p>
            <w:pPr>
              <w:spacing w:after="20" w:before="20"/>
            </w:pPr>
            <w:r/>
            <w:r>
              <w:rPr>
                <w:rFonts w:ascii="Times New Roman" w:hAnsi="Times New Roman" w:eastAsia="宋体"/>
                <w:b w:val="0"/>
                <w:sz w:val="21"/>
              </w:rPr>
              <w:t>竞赛奖项（可累加，20分封顶）</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（以喀什大学教务部门认定的学科竞赛项目及证书为认定依据）</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发表论文（学生以喀什大学为第一完成单位，公开发表与专业相关的学术论文按喀什大学科研处最新的《核心学术期刊目录》确定）</w:t>
            </w:r>
          </w:p>
        </w:tc>
        <w:tc>
          <w:tcPr>
            <w:tcW w:type="dxa" w:w="1439"/>
          </w:tcPr>
          <w:p>
            <w:pPr>
              <w:spacing w:after="20" w:before="20"/>
            </w:pPr>
            <w:r/>
            <w:r>
              <w:rPr>
                <w:rFonts w:ascii="Times New Roman" w:hAnsi="Times New Roman" w:eastAsia="宋体"/>
                <w:b w:val="0"/>
                <w:sz w:val="21"/>
              </w:rPr>
              <w:t>发表论文</w:t>
            </w:r>
          </w:p>
        </w:tc>
        <w:tc>
          <w:tcPr>
            <w:tcW w:type="dxa" w:w="1439"/>
          </w:tcPr>
          <w:p>
            <w:pPr>
              <w:spacing w:after="20" w:before="20"/>
            </w:pPr>
            <w:r/>
            <w:r>
              <w:rPr>
                <w:rFonts w:ascii="Times New Roman" w:hAnsi="Times New Roman" w:eastAsia="宋体"/>
                <w:b w:val="0"/>
                <w:sz w:val="21"/>
              </w:rPr>
              <w:t>D类及以上</w:t>
            </w:r>
          </w:p>
        </w:tc>
        <w:tc>
          <w:tcPr>
            <w:tcW w:type="dxa" w:w="1439"/>
          </w:tcPr>
          <w:p>
            <w:pPr>
              <w:spacing w:after="20" w:before="20"/>
            </w:pPr>
            <w:r/>
            <w:r>
              <w:rPr>
                <w:rFonts w:ascii="Times New Roman" w:hAnsi="Times New Roman" w:eastAsia="宋体"/>
                <w:b w:val="0"/>
                <w:sz w:val="21"/>
              </w:rPr>
              <w:t>喀什大学学术论文及著作等级认定目录+检索报告</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E类</w:t>
            </w:r>
          </w:p>
        </w:tc>
        <w:tc>
          <w:tcPr>
            <w:tcW w:type="dxa" w:w="1439"/>
          </w:tcPr>
          <w:p>
            <w:pPr>
              <w:spacing w:after="20" w:before="20"/>
            </w:pPr>
            <w:r/>
            <w:r>
              <w:rPr>
                <w:rFonts w:ascii="Times New Roman" w:hAnsi="Times New Roman" w:eastAsia="宋体"/>
                <w:b w:val="0"/>
                <w:sz w:val="21"/>
              </w:rPr>
              <w:t>喀什大学学术论文及著作等级认定目录+论文</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F类</w:t>
            </w:r>
          </w:p>
        </w:tc>
        <w:tc>
          <w:tcPr>
            <w:tcW w:type="dxa" w:w="1439"/>
          </w:tcPr>
          <w:p>
            <w:pPr>
              <w:spacing w:after="20" w:before="20"/>
            </w:pPr>
            <w:r/>
            <w:r>
              <w:rPr>
                <w:rFonts w:ascii="Times New Roman" w:hAnsi="Times New Roman" w:eastAsia="宋体"/>
                <w:b w:val="0"/>
                <w:sz w:val="21"/>
              </w:rPr>
              <w:t>喀什大学学术论文及著作等级认定目录+论文</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国家级大学生创新创业项目</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立项、结项证书</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自治区级大学生创新创业项目</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立项、结项证书</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校级大学生创新创业项目</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立项、结项证书</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参与教师科研项目</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立项通知书或者科研管理系统数据</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项目负责人出具的相关证明</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其他科研创新成果</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成果材料</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专家组认证，一事一议</w:t>
            </w:r>
          </w:p>
        </w:tc>
      </w:tr>
      <w:tr>
        <w:tc>
          <w:tcPr>
            <w:tcW w:type="dxa" w:w="1439"/>
          </w:tcPr>
          <w:p>
            <w:pPr>
              <w:spacing w:after="20" w:before="20"/>
            </w:pPr>
            <w:r/>
            <w:r>
              <w:rPr>
                <w:rFonts w:ascii="Times New Roman" w:hAnsi="Times New Roman" w:eastAsia="宋体"/>
                <w:b w:val="0"/>
                <w:sz w:val="21"/>
              </w:rPr>
              <w:t>社会服务职能（可累加，30分封顶）</w:t>
            </w:r>
          </w:p>
        </w:tc>
        <w:tc>
          <w:tcPr>
            <w:tcW w:type="dxa" w:w="1439"/>
          </w:tcPr>
          <w:p>
            <w:pPr>
              <w:spacing w:after="20" w:before="20"/>
            </w:pPr>
            <w:r/>
            <w:r>
              <w:rPr>
                <w:rFonts w:ascii="Times New Roman" w:hAnsi="Times New Roman" w:eastAsia="宋体"/>
                <w:b w:val="0"/>
                <w:sz w:val="21"/>
              </w:rPr>
              <w:t>思想品德考核，要求拥护中国共产党的领导，维护祖国统一和民族团结，践行社会主义核心价值观，遵纪守法，遵守社会公德，不信仰宗教，不参加任何形式的宗教活动。在校期间无违反校纪校规，无受到处分的记录，否则不得推荐。</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政治面貌</w:t>
            </w:r>
          </w:p>
        </w:tc>
        <w:tc>
          <w:tcPr>
            <w:tcW w:type="dxa" w:w="1439"/>
          </w:tcPr>
          <w:p>
            <w:pPr>
              <w:spacing w:after="20" w:before="20"/>
            </w:pPr>
            <w:r/>
            <w:r>
              <w:rPr>
                <w:rFonts w:ascii="Times New Roman" w:hAnsi="Times New Roman" w:eastAsia="宋体"/>
                <w:b w:val="0"/>
                <w:sz w:val="21"/>
              </w:rPr>
              <w:t>中共党员（中共预备党员）</w:t>
            </w:r>
          </w:p>
        </w:tc>
        <w:tc>
          <w:tcPr>
            <w:tcW w:type="dxa" w:w="1439"/>
          </w:tcPr>
          <w:p>
            <w:pPr>
              <w:spacing w:after="20" w:before="20"/>
            </w:pPr>
            <w:r/>
            <w:r>
              <w:rPr>
                <w:rFonts w:ascii="Times New Roman" w:hAnsi="Times New Roman" w:eastAsia="宋体"/>
                <w:b w:val="0"/>
                <w:sz w:val="21"/>
              </w:rPr>
              <w:t>学院党总支组织确认</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共青团员</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校级职务</w:t>
            </w:r>
          </w:p>
        </w:tc>
        <w:tc>
          <w:tcPr>
            <w:tcW w:type="dxa" w:w="1439"/>
          </w:tcPr>
          <w:p>
            <w:pPr>
              <w:spacing w:after="20" w:before="20"/>
            </w:pPr>
            <w:r/>
            <w:r>
              <w:rPr>
                <w:rFonts w:ascii="Times New Roman" w:hAnsi="Times New Roman" w:eastAsia="宋体"/>
                <w:b w:val="0"/>
                <w:sz w:val="21"/>
              </w:rPr>
              <w:t>校学生会主席</w:t>
            </w:r>
          </w:p>
        </w:tc>
        <w:tc>
          <w:tcPr>
            <w:tcW w:type="dxa" w:w="1439"/>
          </w:tcPr>
          <w:p>
            <w:pPr>
              <w:spacing w:after="20" w:before="20"/>
            </w:pPr>
            <w:r/>
            <w:r>
              <w:rPr>
                <w:rFonts w:ascii="Times New Roman" w:hAnsi="Times New Roman" w:eastAsia="宋体"/>
                <w:b w:val="0"/>
                <w:sz w:val="21"/>
              </w:rPr>
              <w:t>学生骨干原则上应任职满一学年，对任职满一学期但未满一学年的学生骨干减半加分，学校党委学工部、团委确认</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校学生会部门负责人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校学生会干事</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院级职务</w:t>
            </w:r>
          </w:p>
        </w:tc>
        <w:tc>
          <w:tcPr>
            <w:tcW w:type="dxa" w:w="1439"/>
          </w:tcPr>
          <w:p>
            <w:pPr>
              <w:spacing w:after="20" w:before="20"/>
            </w:pPr>
            <w:r/>
            <w:r>
              <w:rPr>
                <w:rFonts w:ascii="Times New Roman" w:hAnsi="Times New Roman" w:eastAsia="宋体"/>
                <w:b w:val="0"/>
                <w:sz w:val="21"/>
              </w:rPr>
              <w:t>辅导员助理</w:t>
            </w:r>
          </w:p>
        </w:tc>
        <w:tc>
          <w:tcPr>
            <w:tcW w:type="dxa" w:w="1439"/>
          </w:tcPr>
          <w:p>
            <w:pPr>
              <w:spacing w:after="20" w:before="20"/>
            </w:pPr>
            <w:r/>
            <w:r>
              <w:rPr>
                <w:rFonts w:ascii="Times New Roman" w:hAnsi="Times New Roman" w:eastAsia="宋体"/>
                <w:b w:val="0"/>
                <w:sz w:val="21"/>
              </w:rPr>
              <w:t>学生骨干原则上应任职满一学年，对任职满一学期但未满一学年的学生骨干减半加分，需要班主任、学办确认</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院学生会主席（执行主席、主席团）</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5-6</w:t>
            </w:r>
          </w:p>
        </w:tc>
        <w:tc>
          <w:tcPr>
            <w:tcW w:type="dxa" w:w="1439"/>
          </w:tcPr>
          <w:p>
            <w:pPr>
              <w:spacing w:after="20" w:before="20"/>
            </w:pPr>
            <w:r/>
            <w:r>
              <w:rPr>
                <w:rFonts w:ascii="Times New Roman" w:hAnsi="Times New Roman" w:eastAsia="宋体"/>
                <w:b w:val="0"/>
                <w:sz w:val="21"/>
              </w:rPr>
              <w:t>执行主席6分，主席团成员5分</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院学生会部门负责人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院学生会干事</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学生支部党建负责人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社团、协会部门负责人</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班级职务</w:t>
            </w:r>
          </w:p>
        </w:tc>
        <w:tc>
          <w:tcPr>
            <w:tcW w:type="dxa" w:w="1439"/>
          </w:tcPr>
          <w:p>
            <w:pPr>
              <w:spacing w:after="20" w:before="20"/>
            </w:pPr>
            <w:r/>
            <w:r>
              <w:rPr>
                <w:rFonts w:ascii="Times New Roman" w:hAnsi="Times New Roman" w:eastAsia="宋体"/>
                <w:b w:val="0"/>
                <w:sz w:val="21"/>
              </w:rPr>
              <w:t>班长</w:t>
            </w:r>
          </w:p>
        </w:tc>
        <w:tc>
          <w:tcPr>
            <w:tcW w:type="dxa" w:w="1439"/>
          </w:tcPr>
          <w:p>
            <w:pPr>
              <w:spacing w:after="20" w:before="20"/>
            </w:pPr>
            <w:r/>
            <w:r>
              <w:rPr>
                <w:rFonts w:ascii="Times New Roman" w:hAnsi="Times New Roman" w:eastAsia="宋体"/>
                <w:b w:val="0"/>
                <w:sz w:val="21"/>
              </w:rPr>
              <w:t>学生骨干原则上应任职满一学年，对任职满一学期但未满一学年的学生骨干减半加分，需要班主任、学办确认</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凡有弄虚作假、徇私舞弊的，一经查实，一律取消其推免资格同时视情况给予相应的纪律处分</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学生支部党建助理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院团委（学生）书记</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院团委委员</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社团、协会（社长）</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4-5</w:t>
            </w:r>
          </w:p>
        </w:tc>
        <w:tc>
          <w:tcPr>
            <w:tcW w:type="dxa" w:w="1439"/>
          </w:tcPr>
          <w:p>
            <w:pPr>
              <w:spacing w:after="20" w:before="20"/>
            </w:pPr>
            <w:r/>
            <w:r>
              <w:rPr>
                <w:rFonts w:ascii="Times New Roman" w:hAnsi="Times New Roman" w:eastAsia="宋体"/>
                <w:b w:val="0"/>
                <w:sz w:val="21"/>
              </w:rPr>
              <w:t>社长5分，副社长4分</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团支书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副班长</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学习委员</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生活委员、心理委员</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其他班委</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荣誉证书</w:t>
            </w:r>
          </w:p>
        </w:tc>
        <w:tc>
          <w:tcPr>
            <w:tcW w:type="dxa" w:w="1439"/>
          </w:tcPr>
          <w:p>
            <w:pPr>
              <w:spacing w:after="20" w:before="20"/>
            </w:pPr>
            <w:r/>
            <w:r>
              <w:rPr>
                <w:rFonts w:ascii="Times New Roman" w:hAnsi="Times New Roman" w:eastAsia="宋体"/>
                <w:b w:val="0"/>
                <w:sz w:val="21"/>
              </w:rPr>
              <w:t>校级、院级表彰获得的三好学生、优秀团员、优秀学生骨干、优秀团干部、优秀毕业生、优秀共产党员等各类荣誉证书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校级以上5分，校级3分，院级2分（需提供相关证明）</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国家奖学金、励志奖学金、筑梦奖学金等</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国家级5分，自治区级3分（需提供相关证明）</w:t>
            </w:r>
          </w:p>
        </w:tc>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各类活动个人奖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社会层面、校级、院级获得各类荣誉证书（需提供相关证明）</w:t>
            </w:r>
          </w:p>
        </w:tc>
        <w:tc>
          <w:tcPr>
            <w:tcW w:type="dxa" w:w="1439"/>
          </w:tcPr>
          <w:p>
            <w:pPr>
              <w:spacing w:after="20" w:before="20"/>
            </w:pPr>
            <w:r/>
            <w:r>
              <w:rPr>
                <w:rFonts w:ascii="Times New Roman" w:hAnsi="Times New Roman" w:eastAsia="宋体"/>
                <w:b w:val="0"/>
                <w:sz w:val="21"/>
              </w:rPr>
              <w:t>0.5-1.5</w:t>
            </w:r>
          </w:p>
        </w:tc>
        <w:tc>
          <w:tcPr>
            <w:tcW w:type="dxa" w:w="1439"/>
          </w:tcPr>
          <w:p>
            <w:pPr>
              <w:spacing w:after="20" w:before="20"/>
            </w:pPr>
            <w:r/>
            <w:r>
              <w:rPr>
                <w:rFonts w:ascii="Times New Roman" w:hAnsi="Times New Roman" w:eastAsia="宋体"/>
                <w:b w:val="0"/>
                <w:sz w:val="21"/>
              </w:rPr>
              <w:t>集体参与，鼓励奖0.5分</w:t>
            </w:r>
          </w:p>
        </w:tc>
      </w:tr>
      <w:tr>
        <w:tc>
          <w:tcPr>
            <w:tcW w:type="dxa" w:w="1439"/>
          </w:tcPr>
          <w:p>
            <w:pPr>
              <w:spacing w:after="20" w:before="20"/>
            </w:pPr>
            <w:r/>
            <w:r>
              <w:rPr>
                <w:rFonts w:ascii="Times New Roman" w:hAnsi="Times New Roman" w:eastAsia="宋体"/>
                <w:b w:val="0"/>
                <w:sz w:val="21"/>
              </w:rPr>
              <w:t>技能证书</w:t>
            </w:r>
          </w:p>
        </w:tc>
        <w:tc>
          <w:tcPr>
            <w:tcW w:type="dxa" w:w="1439"/>
          </w:tcPr>
          <w:p>
            <w:pPr>
              <w:spacing w:after="20" w:before="20"/>
            </w:pPr>
            <w:r/>
            <w:r>
              <w:rPr>
                <w:rFonts w:ascii="Times New Roman" w:hAnsi="Times New Roman" w:eastAsia="宋体"/>
                <w:b w:val="0"/>
                <w:sz w:val="21"/>
              </w:rPr>
              <w:t>各专业技能等级证书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英语四级、普通话二乙、计算机一级、MHK四乙等各类证书（需提供相关证明）</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高一级证书3分基础多加1.5分，同一类别证书不累加</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各类职业技能证书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导游证、会计证、教师资格证、心理咨询师、驾驶证等各类职业技能证书（需提供相关证明）</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国际组织实习</w:t>
            </w:r>
          </w:p>
        </w:tc>
        <w:tc>
          <w:tcPr>
            <w:tcW w:type="dxa" w:w="1439"/>
          </w:tcPr>
          <w:p>
            <w:pPr>
              <w:spacing w:after="20" w:before="20"/>
            </w:pPr>
            <w:r/>
            <w:r>
              <w:rPr>
                <w:rFonts w:ascii="Times New Roman" w:hAnsi="Times New Roman" w:eastAsia="宋体"/>
                <w:b w:val="0"/>
                <w:sz w:val="21"/>
              </w:rPr>
              <w:t>国际组织实习</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实习证明</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志愿服务时长（社区、校、院累加）</w:t>
            </w:r>
          </w:p>
        </w:tc>
        <w:tc>
          <w:tcPr>
            <w:tcW w:type="dxa" w:w="1439"/>
          </w:tcPr>
          <w:p>
            <w:pPr>
              <w:spacing w:after="20" w:before="20"/>
            </w:pPr>
            <w:r/>
            <w:r>
              <w:rPr>
                <w:rFonts w:ascii="Times New Roman" w:hAnsi="Times New Roman" w:eastAsia="宋体"/>
                <w:b w:val="0"/>
                <w:sz w:val="21"/>
              </w:rPr>
              <w:t>100～200小时以上</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需提供相关证明，做证材料，学团办确认</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50～100小时</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10～50小时</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第二课堂学分</w:t>
            </w:r>
          </w:p>
        </w:tc>
        <w:tc>
          <w:tcPr>
            <w:tcW w:type="dxa" w:w="1439"/>
          </w:tcPr>
          <w:p>
            <w:pPr>
              <w:spacing w:after="20" w:before="20"/>
            </w:pPr>
            <w:r/>
            <w:r>
              <w:rPr>
                <w:rFonts w:ascii="Times New Roman" w:hAnsi="Times New Roman" w:eastAsia="宋体"/>
                <w:b w:val="0"/>
                <w:sz w:val="21"/>
              </w:rPr>
              <w:t>30～35分以上</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需提供相关证明，做证材料，学团办确认</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25～30分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20～25分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专业实习</w:t>
            </w:r>
          </w:p>
        </w:tc>
        <w:tc>
          <w:tcPr>
            <w:tcW w:type="dxa" w:w="1439"/>
          </w:tcPr>
          <w:p>
            <w:pPr>
              <w:spacing w:after="20" w:before="20"/>
            </w:pPr>
            <w:r/>
            <w:r>
              <w:rPr>
                <w:rFonts w:ascii="Times New Roman" w:hAnsi="Times New Roman" w:eastAsia="宋体"/>
                <w:b w:val="0"/>
                <w:sz w:val="21"/>
              </w:rPr>
              <w:t>优秀</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学院各系确认</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国家级一等奖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国家级二等奖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国家级三等奖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国家级优秀奖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省级一等奖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省级二等奖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省级三等奖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创新创业竞赛</w:t>
            </w:r>
          </w:p>
        </w:tc>
        <w:tc>
          <w:tcPr>
            <w:tcW w:type="dxa" w:w="1439"/>
          </w:tcPr>
          <w:p>
            <w:pPr>
              <w:spacing w:after="20" w:before="20"/>
            </w:pPr>
            <w:r/>
            <w:r>
              <w:rPr>
                <w:rFonts w:ascii="Times New Roman" w:hAnsi="Times New Roman" w:eastAsia="宋体"/>
                <w:b w:val="0"/>
                <w:sz w:val="21"/>
              </w:rPr>
              <w:t>国家级一等奖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国家级二等奖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国家级三等奖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省级一等奖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省级二等奖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省级三等奖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校级一等奖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校级二等奖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校级三等奖</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证书或者获奖证明</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其他竞赛</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证书</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专家组认证，一事一议</w:t>
            </w:r>
          </w:p>
        </w:tc>
      </w:tr>
      <w:tr>
        <w:tc>
          <w:tcPr>
            <w:tcW w:type="dxa" w:w="1439"/>
          </w:tcPr>
          <w:p>
            <w:pPr>
              <w:spacing w:after="20" w:before="20"/>
            </w:pPr>
            <w:r/>
            <w:r>
              <w:rPr>
                <w:rFonts w:ascii="Times New Roman" w:hAnsi="Times New Roman" w:eastAsia="宋体"/>
                <w:b w:val="0"/>
                <w:sz w:val="21"/>
              </w:rPr>
              <w:t>科研成果（可累加，20分封顶）</w:t>
            </w:r>
          </w:p>
        </w:tc>
        <w:tc>
          <w:tcPr>
            <w:tcW w:type="dxa" w:w="1439"/>
          </w:tcPr>
          <w:p>
            <w:pPr>
              <w:spacing w:after="20" w:before="20"/>
            </w:pPr>
            <w:r/>
            <w:r>
              <w:rPr>
                <w:rFonts w:ascii="Times New Roman" w:hAnsi="Times New Roman" w:eastAsia="宋体"/>
                <w:b w:val="0"/>
                <w:sz w:val="21"/>
              </w:rPr>
              <w:t>专利/软件著作权</w:t>
            </w:r>
          </w:p>
        </w:tc>
        <w:tc>
          <w:tcPr>
            <w:tcW w:type="dxa" w:w="1439"/>
          </w:tcPr>
          <w:p>
            <w:pPr>
              <w:spacing w:after="20" w:before="20"/>
            </w:pPr>
            <w:r/>
            <w:r>
              <w:rPr>
                <w:rFonts w:ascii="Times New Roman" w:hAnsi="Times New Roman" w:eastAsia="宋体"/>
                <w:b w:val="0"/>
                <w:sz w:val="21"/>
              </w:rPr>
              <w:t>发明专利授权证书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实用新型专利证书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软件著作权登记证书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外观专利证书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荣誉表彰（可累加，30分封顶）</w:t>
            </w:r>
          </w:p>
        </w:tc>
        <w:tc>
          <w:tcPr>
            <w:tcW w:type="dxa" w:w="1439"/>
          </w:tcPr>
          <w:p>
            <w:pPr>
              <w:spacing w:after="20" w:before="20"/>
            </w:pPr>
            <w:r/>
            <w:r>
              <w:rPr>
                <w:rFonts w:ascii="Times New Roman" w:hAnsi="Times New Roman" w:eastAsia="宋体"/>
                <w:b w:val="0"/>
                <w:sz w:val="21"/>
              </w:rPr>
              <w:t>参军入伍</w:t>
            </w:r>
          </w:p>
        </w:tc>
        <w:tc>
          <w:tcPr>
            <w:tcW w:type="dxa" w:w="1439"/>
          </w:tcPr>
          <w:p>
            <w:pPr>
              <w:spacing w:after="20" w:before="20"/>
            </w:pPr>
            <w:r/>
            <w:r>
              <w:rPr>
                <w:rFonts w:ascii="Times New Roman" w:hAnsi="Times New Roman" w:eastAsia="宋体"/>
                <w:b w:val="0"/>
                <w:sz w:val="21"/>
              </w:rPr>
              <w:t>服役期满并获“优秀士兵”及以上</w:t>
            </w:r>
          </w:p>
        </w:tc>
        <w:tc>
          <w:tcPr>
            <w:tcW w:type="dxa" w:w="1439"/>
          </w:tcPr>
          <w:p>
            <w:pPr>
              <w:spacing w:after="20" w:before="20"/>
            </w:pPr>
            <w:r/>
            <w:r>
              <w:rPr>
                <w:rFonts w:ascii="Times New Roman" w:hAnsi="Times New Roman" w:eastAsia="宋体"/>
                <w:b w:val="0"/>
                <w:sz w:val="21"/>
              </w:rPr>
              <w:t>退役证+部队证明</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完成服役</w:t>
            </w:r>
          </w:p>
        </w:tc>
        <w:tc>
          <w:tcPr>
            <w:tcW w:type="dxa" w:w="1439"/>
          </w:tcPr>
          <w:p>
            <w:pPr>
              <w:spacing w:after="20" w:before="20"/>
            </w:pPr>
            <w:r/>
            <w:r>
              <w:rPr>
                <w:rFonts w:ascii="Times New Roman" w:hAnsi="Times New Roman" w:eastAsia="宋体"/>
                <w:b w:val="0"/>
                <w:sz w:val="21"/>
              </w:rPr>
              <w:t>退役证</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