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海洋生命学院本科生申请免试攻读研究生学分要求及学习成绩测算办法</w:t>
      </w:r>
    </w:p>
    <w:p>
      <w:pPr>
        <w:spacing w:after="80" w:lineRule="auto" w:line="360"/>
        <w:ind w:firstLine="482"/>
        <w:jc w:val="both"/>
      </w:pPr>
      <w:r>
        <w:rPr>
          <w:rFonts w:ascii="Times New Roman" w:hAnsi="Times New Roman" w:eastAsia="宋体"/>
          <w:b w:val="0"/>
          <w:sz w:val="24"/>
        </w:rPr>
        <w:t>海洋生命学院本科生申请免试攻读研究生学分要求及学习成绩测算办法（2017年10月）</w:t>
      </w:r>
    </w:p>
    <w:p>
      <w:pPr>
        <w:spacing w:after="80" w:lineRule="auto" w:line="360"/>
        <w:ind w:firstLine="482"/>
        <w:jc w:val="both"/>
      </w:pPr>
      <w:r>
        <w:rPr>
          <w:rFonts w:ascii="Times New Roman" w:hAnsi="Times New Roman" w:eastAsia="宋体"/>
          <w:b w:val="0"/>
          <w:sz w:val="24"/>
        </w:rPr>
        <w:t>发布日期（推定）：2026年6月13日</w:t>
      </w:r>
    </w:p>
    <w:p>
      <w:pPr>
        <w:spacing w:before="160" w:after="80" w:lineRule="auto" w:line="360"/>
        <w:jc w:val="left"/>
      </w:pPr>
      <w:r>
        <w:rPr>
          <w:rFonts w:ascii="Times New Roman" w:hAnsi="Times New Roman" w:eastAsia="宋体"/>
          <w:b/>
          <w:sz w:val="28"/>
        </w:rPr>
        <w:t>一、学分要求</w:t>
      </w:r>
    </w:p>
    <w:p>
      <w:pPr>
        <w:spacing w:after="80" w:lineRule="auto" w:line="360"/>
        <w:ind w:firstLine="482"/>
        <w:jc w:val="both"/>
      </w:pPr>
      <w:r>
        <w:rPr>
          <w:rFonts w:ascii="Times New Roman" w:hAnsi="Times New Roman" w:eastAsia="宋体"/>
          <w:b w:val="0"/>
          <w:sz w:val="24"/>
        </w:rPr>
        <w:t>（一）生物科学（生物科学方向）</w:t>
      </w:r>
    </w:p>
    <w:p>
      <w:pPr>
        <w:spacing w:after="80" w:lineRule="auto" w:line="360"/>
        <w:ind w:firstLine="482"/>
        <w:jc w:val="both"/>
      </w:pPr>
      <w:r>
        <w:rPr>
          <w:rFonts w:ascii="Times New Roman" w:hAnsi="Times New Roman" w:eastAsia="宋体"/>
          <w:b w:val="0"/>
          <w:sz w:val="24"/>
        </w:rPr>
        <w:t>1. 公共基础层面：思想政治理论及军事类15分，高等数学类11分，大学外语类8分，大学物理类7.5分，大学化学类11分，大学计算机类4分。</w:t>
      </w:r>
    </w:p>
    <w:p>
      <w:pPr>
        <w:spacing w:after="80" w:lineRule="auto" w:line="360"/>
        <w:ind w:firstLine="482"/>
        <w:jc w:val="both"/>
      </w:pPr>
      <w:r>
        <w:rPr>
          <w:rFonts w:ascii="Times New Roman" w:hAnsi="Times New Roman" w:eastAsia="宋体"/>
          <w:b w:val="0"/>
          <w:sz w:val="24"/>
        </w:rPr>
        <w:t>2. 专业教育层面：必修类课程38分，选修类课程18分。</w:t>
      </w:r>
    </w:p>
    <w:p>
      <w:pPr>
        <w:spacing w:after="80" w:lineRule="auto" w:line="360"/>
        <w:ind w:firstLine="482"/>
        <w:jc w:val="both"/>
      </w:pPr>
      <w:r>
        <w:rPr>
          <w:rFonts w:ascii="Times New Roman" w:hAnsi="Times New Roman" w:eastAsia="宋体"/>
          <w:b w:val="0"/>
          <w:sz w:val="24"/>
        </w:rPr>
        <w:t>（二）生物科学（海洋生物学方向）</w:t>
      </w:r>
    </w:p>
    <w:p>
      <w:pPr>
        <w:spacing w:after="80" w:lineRule="auto" w:line="360"/>
        <w:ind w:firstLine="482"/>
        <w:jc w:val="both"/>
      </w:pPr>
      <w:r>
        <w:rPr>
          <w:rFonts w:ascii="Times New Roman" w:hAnsi="Times New Roman" w:eastAsia="宋体"/>
          <w:b w:val="0"/>
          <w:sz w:val="24"/>
        </w:rPr>
        <w:t>1. 公共基础层面：思想政治理论及军事类15分，高等数学类11分，大学外语类8分，大学物理类7.5分，大学化学类11分，大学计算机类4分。</w:t>
      </w:r>
    </w:p>
    <w:p>
      <w:pPr>
        <w:spacing w:after="80" w:lineRule="auto" w:line="360"/>
        <w:ind w:firstLine="482"/>
        <w:jc w:val="both"/>
      </w:pPr>
      <w:r>
        <w:rPr>
          <w:rFonts w:ascii="Times New Roman" w:hAnsi="Times New Roman" w:eastAsia="宋体"/>
          <w:b w:val="0"/>
          <w:sz w:val="24"/>
        </w:rPr>
        <w:t>2. 专业教育层面：必修类课程41分，选修类课程16分。</w:t>
      </w:r>
    </w:p>
    <w:p>
      <w:pPr>
        <w:spacing w:after="80" w:lineRule="auto" w:line="360"/>
        <w:ind w:firstLine="482"/>
        <w:jc w:val="both"/>
      </w:pPr>
      <w:r>
        <w:rPr>
          <w:rFonts w:ascii="Times New Roman" w:hAnsi="Times New Roman" w:eastAsia="宋体"/>
          <w:b w:val="0"/>
          <w:sz w:val="24"/>
        </w:rPr>
        <w:t>（三）生物技术</w:t>
      </w:r>
    </w:p>
    <w:p>
      <w:pPr>
        <w:spacing w:after="80" w:lineRule="auto" w:line="360"/>
        <w:ind w:firstLine="482"/>
        <w:jc w:val="both"/>
      </w:pPr>
      <w:r>
        <w:rPr>
          <w:rFonts w:ascii="Times New Roman" w:hAnsi="Times New Roman" w:eastAsia="宋体"/>
          <w:b w:val="0"/>
          <w:sz w:val="24"/>
        </w:rPr>
        <w:t>1. 公共基础层面：思想政治理论及军事类15分，高等数学类11分，大学外语类8分，大学物理类7.5分，大学化学类11分，大学计算机类4分。</w:t>
      </w:r>
    </w:p>
    <w:p>
      <w:pPr>
        <w:spacing w:after="80" w:lineRule="auto" w:line="360"/>
        <w:ind w:firstLine="482"/>
        <w:jc w:val="both"/>
      </w:pPr>
      <w:r>
        <w:rPr>
          <w:rFonts w:ascii="Times New Roman" w:hAnsi="Times New Roman" w:eastAsia="宋体"/>
          <w:b w:val="0"/>
          <w:sz w:val="24"/>
        </w:rPr>
        <w:t>2. 专业教育层面：必修类课程38分，选修类课程18分。</w:t>
      </w:r>
    </w:p>
    <w:p>
      <w:pPr>
        <w:spacing w:after="80" w:lineRule="auto" w:line="360"/>
        <w:ind w:firstLine="482"/>
        <w:jc w:val="both"/>
      </w:pPr>
      <w:r>
        <w:rPr>
          <w:rFonts w:ascii="Times New Roman" w:hAnsi="Times New Roman" w:eastAsia="宋体"/>
          <w:b w:val="0"/>
          <w:sz w:val="24"/>
        </w:rPr>
        <w:t>（四）生态学</w:t>
      </w:r>
    </w:p>
    <w:p>
      <w:pPr>
        <w:spacing w:after="80" w:lineRule="auto" w:line="360"/>
        <w:ind w:firstLine="482"/>
        <w:jc w:val="both"/>
      </w:pPr>
      <w:r>
        <w:rPr>
          <w:rFonts w:ascii="Times New Roman" w:hAnsi="Times New Roman" w:eastAsia="宋体"/>
          <w:b w:val="0"/>
          <w:sz w:val="24"/>
        </w:rPr>
        <w:t>1. 公共基础层面：思想政治理论及军事类15分，高等数学类11分，大学外语类8分，大学物理类7.5分，大学化学类11分，大学计算机类4分。</w:t>
      </w:r>
    </w:p>
    <w:p>
      <w:pPr>
        <w:spacing w:after="80" w:lineRule="auto" w:line="360"/>
        <w:ind w:firstLine="482"/>
        <w:jc w:val="both"/>
      </w:pPr>
      <w:r>
        <w:rPr>
          <w:rFonts w:ascii="Times New Roman" w:hAnsi="Times New Roman" w:eastAsia="宋体"/>
          <w:b w:val="0"/>
          <w:sz w:val="24"/>
        </w:rPr>
        <w:t>2. 专业教育层面：必修类课程45.5分，选修类课程14分。</w:t>
      </w:r>
    </w:p>
    <w:p>
      <w:pPr>
        <w:spacing w:after="80" w:lineRule="auto" w:line="360"/>
        <w:ind w:firstLine="482"/>
        <w:jc w:val="both"/>
      </w:pPr>
      <w:r>
        <w:rPr>
          <w:rFonts w:ascii="Times New Roman" w:hAnsi="Times New Roman" w:eastAsia="宋体"/>
          <w:b w:val="0"/>
          <w:sz w:val="24"/>
        </w:rPr>
        <w:t>（五）基地班</w:t>
      </w:r>
    </w:p>
    <w:p>
      <w:pPr>
        <w:spacing w:after="80" w:lineRule="auto" w:line="360"/>
        <w:ind w:firstLine="482"/>
        <w:jc w:val="both"/>
      </w:pPr>
      <w:r>
        <w:rPr>
          <w:rFonts w:ascii="Times New Roman" w:hAnsi="Times New Roman" w:eastAsia="宋体"/>
          <w:b w:val="0"/>
          <w:sz w:val="24"/>
        </w:rPr>
        <w:t>1. 公共基础层面：思想政治理论及军事类15分，高等数学类11分，大学外语类8分，大学物理类7.5分，大学化学类11分，大学计算机类4分。</w:t>
      </w:r>
    </w:p>
    <w:p>
      <w:pPr>
        <w:spacing w:after="80" w:lineRule="auto" w:line="360"/>
        <w:ind w:firstLine="482"/>
        <w:jc w:val="both"/>
      </w:pPr>
      <w:r>
        <w:rPr>
          <w:rFonts w:ascii="Times New Roman" w:hAnsi="Times New Roman" w:eastAsia="宋体"/>
          <w:b w:val="0"/>
          <w:sz w:val="24"/>
        </w:rPr>
        <w:t>2. 专业教育层面：必修类课程36分，选修类课程19分。</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 以上规定适用于2016级及以后各级学生。</w:t>
      </w:r>
    </w:p>
    <w:p>
      <w:pPr>
        <w:spacing w:after="80" w:lineRule="auto" w:line="360"/>
        <w:ind w:firstLine="482"/>
        <w:jc w:val="both"/>
      </w:pPr>
      <w:r>
        <w:rPr>
          <w:rFonts w:ascii="Times New Roman" w:hAnsi="Times New Roman" w:eastAsia="宋体"/>
          <w:b w:val="0"/>
          <w:sz w:val="24"/>
        </w:rPr>
        <w:t>2. 体育类课程和通识教育课程不做学分要求。</w:t>
      </w:r>
    </w:p>
    <w:p>
      <w:pPr>
        <w:spacing w:after="80" w:lineRule="auto" w:line="360"/>
        <w:ind w:firstLine="482"/>
        <w:jc w:val="both"/>
      </w:pPr>
      <w:r>
        <w:rPr>
          <w:rFonts w:ascii="Times New Roman" w:hAnsi="Times New Roman" w:eastAsia="宋体"/>
          <w:b w:val="0"/>
          <w:sz w:val="24"/>
        </w:rPr>
        <w:t>3. 毕业论文学分不得替代其他必修类课程学分。</w:t>
      </w:r>
    </w:p>
    <w:p>
      <w:pPr>
        <w:spacing w:after="80" w:lineRule="auto" w:line="360"/>
        <w:ind w:firstLine="482"/>
        <w:jc w:val="both"/>
      </w:pPr>
      <w:r>
        <w:rPr>
          <w:rFonts w:ascii="Times New Roman" w:hAnsi="Times New Roman" w:eastAsia="宋体"/>
          <w:b w:val="0"/>
          <w:sz w:val="24"/>
        </w:rPr>
        <w:t>4. 因校际交流、转换专业、课程替代等原因需对学分确认的，由本人向学院提交申请，由学院予以认定。</w:t>
      </w:r>
    </w:p>
    <w:p>
      <w:pPr>
        <w:spacing w:before="160" w:after="80" w:lineRule="auto" w:line="360"/>
        <w:jc w:val="left"/>
      </w:pPr>
      <w:r>
        <w:rPr>
          <w:rFonts w:ascii="Times New Roman" w:hAnsi="Times New Roman" w:eastAsia="宋体"/>
          <w:b/>
          <w:sz w:val="28"/>
        </w:rPr>
        <w:t>二、学习成绩测算办法</w:t>
      </w:r>
    </w:p>
    <w:p>
      <w:pPr>
        <w:spacing w:after="80" w:lineRule="auto" w:line="360"/>
        <w:ind w:firstLine="482"/>
        <w:jc w:val="both"/>
      </w:pPr>
      <w:r>
        <w:rPr>
          <w:rFonts w:ascii="Times New Roman" w:hAnsi="Times New Roman" w:eastAsia="宋体"/>
          <w:b w:val="0"/>
          <w:sz w:val="24"/>
        </w:rPr>
        <w:t>1. 学习成绩的计算公式为：∑（课程分数*课程学分）/总学分。</w:t>
      </w:r>
    </w:p>
    <w:p>
      <w:pPr>
        <w:spacing w:after="80" w:lineRule="auto" w:line="360"/>
        <w:ind w:firstLine="482"/>
        <w:jc w:val="both"/>
      </w:pPr>
      <w:r>
        <w:rPr>
          <w:rFonts w:ascii="Times New Roman" w:hAnsi="Times New Roman" w:eastAsia="宋体"/>
          <w:b w:val="0"/>
          <w:sz w:val="24"/>
        </w:rPr>
        <w:t>2. 除体育类课程和通识教育课程外，所有已修的培养方案中的课程都要进行成绩测算。二级制及五级制等课程，只计入学分，不计算成绩。</w:t>
      </w:r>
    </w:p>
    <w:p>
      <w:pPr>
        <w:spacing w:after="80" w:lineRule="auto" w:line="360"/>
        <w:ind w:firstLine="482"/>
        <w:jc w:val="both"/>
      </w:pPr>
      <w:r>
        <w:rPr>
          <w:rFonts w:ascii="Times New Roman" w:hAnsi="Times New Roman" w:eastAsia="宋体"/>
          <w:b w:val="0"/>
          <w:sz w:val="24"/>
        </w:rPr>
        <w:t>3. 课程成绩按初修成绩测算，初修不及格、重修成绩合格的按60分计算。</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