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经济管理学院2026年推荐优秀应届本科毕业生免试攻读研究生遴选细则-华中农业大学经济管理学院</w:t>
      </w:r>
    </w:p>
    <w:p>
      <w:pPr>
        <w:spacing w:after="80" w:lineRule="auto" w:line="360"/>
        <w:ind w:firstLine="482"/>
        <w:jc w:val="both"/>
      </w:pPr>
      <w:r>
        <w:rPr>
          <w:rFonts w:ascii="Times New Roman" w:hAnsi="Times New Roman" w:eastAsia="宋体"/>
          <w:b w:val="0"/>
          <w:sz w:val="24"/>
        </w:rPr>
        <w:t>为做好学院2026年推荐优秀应届本科毕业生免试攻读研究生（以下简称推免）工作，根据《教育部办公厅关于进一步规范和加强推荐优秀应届本科毕业生免试攻读研究生工作的通知》（教学厅〔2020〕12号）等文件精神，制定本方案。</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（1）具有高尚的爱国主义情操和集体主义精神，理想信念坚定，社会责任感强，身心健康；</w:t>
      </w:r>
    </w:p>
    <w:p>
      <w:pPr>
        <w:spacing w:after="80" w:lineRule="auto" w:line="360"/>
        <w:ind w:firstLine="482"/>
        <w:jc w:val="both"/>
      </w:pPr>
      <w:r>
        <w:rPr>
          <w:rFonts w:ascii="Times New Roman" w:hAnsi="Times New Roman" w:eastAsia="宋体"/>
          <w:b w:val="0"/>
          <w:sz w:val="24"/>
        </w:rPr>
        <w:t>（2）诚实守信，无违法违纪受处分记录，无学术不端记录；</w:t>
      </w:r>
    </w:p>
    <w:p>
      <w:pPr>
        <w:spacing w:after="80" w:lineRule="auto" w:line="360"/>
        <w:ind w:firstLine="482"/>
        <w:jc w:val="both"/>
      </w:pPr>
      <w:r>
        <w:rPr>
          <w:rFonts w:ascii="Times New Roman" w:hAnsi="Times New Roman" w:eastAsia="宋体"/>
          <w:b w:val="0"/>
          <w:sz w:val="24"/>
        </w:rPr>
        <w:t>（3）通过国家大学英语四级考试（小语种学生达到本科毕业相关要求），大学期间所修课程平均学分绩点（GPA）专业排名原则上在前40%（含）；新疆和西藏地区少数民族学生平均学分绩点（GPA）专业排名可放宽至前45%（含）；</w:t>
      </w:r>
    </w:p>
    <w:p>
      <w:pPr>
        <w:spacing w:after="80" w:lineRule="auto" w:line="360"/>
        <w:ind w:firstLine="482"/>
        <w:jc w:val="both"/>
      </w:pPr>
      <w:r>
        <w:rPr>
          <w:rFonts w:ascii="Times New Roman" w:hAnsi="Times New Roman" w:eastAsia="宋体"/>
          <w:b w:val="0"/>
          <w:sz w:val="24"/>
        </w:rPr>
        <w:t>（4）经济学大类须修读完成且考试通过以下3门课程：《中级微观经济学》《中级宏观经济学》《中级计量经济学》；工商管理大类须修读完成且考试通过以下3门课程：《中级微观经济学》《中级计量经济学》，《中级宏观经济学》或《应用多元统计分析》二选一。</w:t>
      </w:r>
    </w:p>
    <w:p>
      <w:pPr>
        <w:spacing w:after="80" w:lineRule="auto" w:line="360"/>
        <w:ind w:firstLine="482"/>
        <w:jc w:val="both"/>
      </w:pPr>
      <w:r>
        <w:rPr>
          <w:rFonts w:ascii="Times New Roman" w:hAnsi="Times New Roman" w:eastAsia="宋体"/>
          <w:b w:val="0"/>
          <w:sz w:val="24"/>
        </w:rPr>
        <w:t>2. 加分条件</w:t>
      </w:r>
    </w:p>
    <w:p>
      <w:pPr>
        <w:spacing w:after="80" w:lineRule="auto" w:line="360"/>
        <w:ind w:firstLine="482"/>
        <w:jc w:val="both"/>
      </w:pPr>
      <w:r>
        <w:rPr>
          <w:rFonts w:ascii="Times New Roman" w:hAnsi="Times New Roman" w:eastAsia="宋体"/>
          <w:b w:val="0"/>
          <w:sz w:val="24"/>
        </w:rPr>
        <w:t>具备以下条件者在计算其专业综合成绩时可给予相应加分（加分参照标准见附件1）。</w:t>
      </w:r>
    </w:p>
    <w:p>
      <w:pPr>
        <w:spacing w:after="80" w:lineRule="auto" w:line="360"/>
        <w:ind w:firstLine="482"/>
        <w:jc w:val="both"/>
      </w:pPr>
      <w:r>
        <w:rPr>
          <w:rFonts w:ascii="Times New Roman" w:hAnsi="Times New Roman" w:eastAsia="宋体"/>
          <w:b w:val="0"/>
          <w:sz w:val="24"/>
        </w:rPr>
        <w:t>（1）学术成果：本科阶段在中文核心及以上期刊以独立作者或导师外第一作者发表与专业相关学术论文；获得国家专利或计算机软件著作权；获得省级大学生优秀科研成果奖三等奖及以上；</w:t>
      </w:r>
    </w:p>
    <w:p>
      <w:pPr>
        <w:spacing w:after="80" w:lineRule="auto" w:line="360"/>
        <w:ind w:firstLine="482"/>
        <w:jc w:val="both"/>
      </w:pPr>
      <w:r>
        <w:rPr>
          <w:rFonts w:ascii="Times New Roman" w:hAnsi="Times New Roman" w:eastAsia="宋体"/>
          <w:b w:val="0"/>
          <w:sz w:val="24"/>
        </w:rPr>
        <w:t>（2）学科竞赛：作为团队成员参加与学业相关的国内权威科研竞赛（全国赛）并获得三等奖以上奖励（国际赛事参照执行，但不得低于国内赛事相关要求）；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（3）其他：学生参军入伍服兵役、参加志愿服务、到国际组织实习、参加文体活动等表现突出，获得省部级及以上表彰。</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3. 成绩计算</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专业名称</w:t>
            </w:r>
          </w:p>
        </w:tc>
        <w:tc>
          <w:tcPr>
            <w:tcW w:type="dxa" w:w="1727"/>
          </w:tcPr>
          <w:p>
            <w:pPr>
              <w:spacing w:after="20" w:before="20"/>
            </w:pPr>
            <w:r/>
            <w:r>
              <w:rPr>
                <w:rFonts w:ascii="Times New Roman" w:hAnsi="Times New Roman" w:eastAsia="宋体"/>
                <w:b/>
                <w:sz w:val="21"/>
              </w:rPr>
              <w:t>专业学生人数</w:t>
            </w:r>
          </w:p>
        </w:tc>
        <w:tc>
          <w:tcPr>
            <w:tcW w:type="dxa" w:w="1727"/>
          </w:tcPr>
          <w:p>
            <w:pPr>
              <w:spacing w:after="20" w:before="20"/>
            </w:pPr>
            <w:r/>
            <w:r>
              <w:rPr>
                <w:rFonts w:ascii="Times New Roman" w:hAnsi="Times New Roman" w:eastAsia="宋体"/>
                <w:b/>
                <w:sz w:val="21"/>
              </w:rPr>
              <w:t>专业基础指标</w:t>
            </w:r>
          </w:p>
        </w:tc>
        <w:tc>
          <w:tcPr>
            <w:tcW w:type="dxa" w:w="1727"/>
          </w:tcPr>
          <w:p>
            <w:pPr>
              <w:spacing w:after="20" w:before="20"/>
            </w:pPr>
            <w:r/>
            <w:r>
              <w:rPr>
                <w:rFonts w:ascii="Times New Roman" w:hAnsi="Times New Roman" w:eastAsia="宋体"/>
                <w:b/>
                <w:sz w:val="21"/>
              </w:rPr>
              <w:t>奖励性指标</w:t>
            </w:r>
          </w:p>
        </w:tc>
        <w:tc>
          <w:tcPr>
            <w:tcW w:type="dxa" w:w="1727"/>
          </w:tcPr>
          <w:p>
            <w:pPr>
              <w:spacing w:after="20" w:before="20"/>
            </w:pPr>
            <w:r/>
            <w:r>
              <w:rPr>
                <w:rFonts w:ascii="Times New Roman" w:hAnsi="Times New Roman" w:eastAsia="宋体"/>
                <w:b/>
                <w:sz w:val="21"/>
              </w:rPr>
              <w:t>专业总指标</w:t>
            </w:r>
          </w:p>
        </w:tc>
      </w:tr>
      <w:tr>
        <w:tc>
          <w:tcPr>
            <w:tcW w:type="dxa" w:w="1727"/>
          </w:tcPr>
          <w:p>
            <w:pPr>
              <w:spacing w:after="20" w:before="20"/>
            </w:pPr>
            <w:r/>
            <w:r>
              <w:rPr>
                <w:rFonts w:ascii="Times New Roman" w:hAnsi="Times New Roman" w:eastAsia="宋体"/>
                <w:b w:val="0"/>
                <w:sz w:val="21"/>
              </w:rPr>
              <w:t>农林经济管理</w:t>
            </w:r>
          </w:p>
        </w:tc>
        <w:tc>
          <w:tcPr>
            <w:tcW w:type="dxa" w:w="1727"/>
          </w:tcPr>
          <w:p>
            <w:pPr>
              <w:spacing w:after="20" w:before="20"/>
            </w:pPr>
            <w:r/>
            <w:r>
              <w:rPr>
                <w:rFonts w:ascii="Times New Roman" w:hAnsi="Times New Roman" w:eastAsia="宋体"/>
                <w:b w:val="0"/>
                <w:sz w:val="21"/>
              </w:rPr>
              <w:t>91</w:t>
            </w:r>
          </w:p>
        </w:tc>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10</w:t>
            </w:r>
          </w:p>
        </w:tc>
      </w:tr>
      <w:tr>
        <w:tc>
          <w:tcPr>
            <w:tcW w:type="dxa" w:w="1727"/>
          </w:tcPr>
          <w:p>
            <w:pPr>
              <w:spacing w:after="20" w:before="20"/>
            </w:pPr>
            <w:r/>
            <w:r>
              <w:rPr>
                <w:rFonts w:ascii="Times New Roman" w:hAnsi="Times New Roman" w:eastAsia="宋体"/>
                <w:b w:val="0"/>
                <w:sz w:val="21"/>
              </w:rPr>
              <w:t>国际经济与贸易</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经济学</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10</w:t>
            </w:r>
          </w:p>
        </w:tc>
      </w:tr>
      <w:tr>
        <w:tc>
          <w:tcPr>
            <w:tcW w:type="dxa" w:w="1727"/>
          </w:tcPr>
          <w:p>
            <w:pPr>
              <w:spacing w:after="20" w:before="20"/>
            </w:pPr>
            <w:r/>
            <w:r>
              <w:rPr>
                <w:rFonts w:ascii="Times New Roman" w:hAnsi="Times New Roman" w:eastAsia="宋体"/>
                <w:b w:val="0"/>
                <w:sz w:val="21"/>
              </w:rPr>
              <w:t>经济统计学</w:t>
            </w:r>
          </w:p>
        </w:tc>
        <w:tc>
          <w:tcPr>
            <w:tcW w:type="dxa" w:w="1727"/>
          </w:tcPr>
          <w:p>
            <w:pPr>
              <w:spacing w:after="20" w:before="20"/>
            </w:pPr>
            <w:r/>
            <w:r>
              <w:rPr>
                <w:rFonts w:ascii="Times New Roman" w:hAnsi="Times New Roman" w:eastAsia="宋体"/>
                <w:b w:val="0"/>
                <w:sz w:val="21"/>
              </w:rPr>
              <w:t>67</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7</w:t>
            </w:r>
          </w:p>
        </w:tc>
      </w:tr>
      <w:tr>
        <w:tc>
          <w:tcPr>
            <w:tcW w:type="dxa" w:w="1727"/>
          </w:tcPr>
          <w:p>
            <w:pPr>
              <w:spacing w:after="20" w:before="20"/>
            </w:pPr>
            <w:r/>
            <w:r>
              <w:rPr>
                <w:rFonts w:ascii="Times New Roman" w:hAnsi="Times New Roman" w:eastAsia="宋体"/>
                <w:b w:val="0"/>
                <w:sz w:val="21"/>
              </w:rPr>
              <w:t>工商管理</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会计学</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7</w:t>
            </w:r>
          </w:p>
        </w:tc>
      </w:tr>
      <w:tr>
        <w:tc>
          <w:tcPr>
            <w:tcW w:type="dxa" w:w="1727"/>
          </w:tcPr>
          <w:p>
            <w:pPr>
              <w:spacing w:after="20" w:before="20"/>
            </w:pPr>
            <w:r/>
            <w:r>
              <w:rPr>
                <w:rFonts w:ascii="Times New Roman" w:hAnsi="Times New Roman" w:eastAsia="宋体"/>
                <w:b w:val="0"/>
                <w:sz w:val="21"/>
              </w:rPr>
              <w:t>财务管理</w:t>
            </w:r>
          </w:p>
        </w:tc>
        <w:tc>
          <w:tcPr>
            <w:tcW w:type="dxa" w:w="1727"/>
          </w:tcPr>
          <w:p>
            <w:pPr>
              <w:spacing w:after="20" w:before="20"/>
            </w:pPr>
            <w:r/>
            <w:r>
              <w:rPr>
                <w:rFonts w:ascii="Times New Roman" w:hAnsi="Times New Roman" w:eastAsia="宋体"/>
                <w:b w:val="0"/>
                <w:sz w:val="21"/>
              </w:rPr>
              <w:t>60</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7</w:t>
            </w:r>
          </w:p>
        </w:tc>
      </w:tr>
      <w:tr>
        <w:tc>
          <w:tcPr>
            <w:tcW w:type="dxa" w:w="1727"/>
          </w:tcPr>
          <w:p>
            <w:pPr>
              <w:spacing w:after="20" w:before="20"/>
            </w:pPr>
            <w:r/>
            <w:r>
              <w:rPr>
                <w:rFonts w:ascii="Times New Roman" w:hAnsi="Times New Roman" w:eastAsia="宋体"/>
                <w:b w:val="0"/>
                <w:sz w:val="21"/>
              </w:rPr>
              <w:t>人力资源管理</w:t>
            </w:r>
          </w:p>
        </w:tc>
        <w:tc>
          <w:tcPr>
            <w:tcW w:type="dxa" w:w="1727"/>
          </w:tcPr>
          <w:p>
            <w:pPr>
              <w:spacing w:after="20" w:before="20"/>
            </w:pPr>
            <w:r/>
            <w:r>
              <w:rPr>
                <w:rFonts w:ascii="Times New Roman" w:hAnsi="Times New Roman" w:eastAsia="宋体"/>
                <w:b w:val="0"/>
                <w:sz w:val="21"/>
              </w:rPr>
              <w:t>31</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市场营销</w:t>
            </w:r>
          </w:p>
        </w:tc>
        <w:tc>
          <w:tcPr>
            <w:tcW w:type="dxa" w:w="1727"/>
          </w:tcPr>
          <w:p>
            <w:pPr>
              <w:spacing w:after="20" w:before="20"/>
            </w:pPr>
            <w:r/>
            <w:r>
              <w:rPr>
                <w:rFonts w:ascii="Times New Roman" w:hAnsi="Times New Roman" w:eastAsia="宋体"/>
                <w:b w:val="0"/>
                <w:sz w:val="21"/>
              </w:rPr>
              <w:t>53</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7</w:t>
            </w:r>
          </w:p>
        </w:tc>
      </w:tr>
      <w:tr>
        <w:tc>
          <w:tcPr>
            <w:tcW w:type="dxa" w:w="1727"/>
          </w:tcPr>
          <w:p>
            <w:pPr>
              <w:spacing w:after="20" w:before="20"/>
            </w:pPr>
            <w:r/>
            <w:r>
              <w:rPr>
                <w:rFonts w:ascii="Times New Roman" w:hAnsi="Times New Roman" w:eastAsia="宋体"/>
                <w:b w:val="0"/>
                <w:sz w:val="21"/>
              </w:rPr>
              <w:t>小计：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51</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57</w:t>
            </w:r>
          </w:p>
        </w:tc>
      </w:tr>
    </w:tbl>
    <w:p>
      <w:pPr>
        <w:spacing w:after="80" w:lineRule="auto" w:line="360"/>
        <w:ind w:firstLine="482"/>
        <w:jc w:val="both"/>
      </w:pPr>
      <w:r>
        <w:rPr>
          <w:rFonts w:ascii="Times New Roman" w:hAnsi="Times New Roman" w:eastAsia="宋体"/>
          <w:b w:val="0"/>
          <w:sz w:val="24"/>
        </w:rPr>
        <w:t>学风建设先进班集体奖励指标</w:t>
      </w:r>
    </w:p>
    <w:p>
      <w:pPr>
        <w:spacing w:after="80" w:lineRule="auto" w:line="360"/>
        <w:ind w:firstLine="482"/>
        <w:jc w:val="both"/>
      </w:pPr>
      <w:r>
        <w:rPr>
          <w:rFonts w:ascii="Times New Roman" w:hAnsi="Times New Roman" w:eastAsia="宋体"/>
          <w:b w:val="0"/>
          <w:sz w:val="24"/>
        </w:rPr>
        <w:t>此项奖励指标总数不超过8个，每班不超过2个（含学风建设免试推荐攻读研究生指标）。指标分配以本科生院学风建设先进班集体发文公布名单为准。</w:t>
      </w:r>
    </w:p>
    <w:p>
      <w:pPr>
        <w:spacing w:after="80" w:lineRule="auto" w:line="360"/>
        <w:ind w:firstLine="482"/>
        <w:jc w:val="both"/>
      </w:pPr>
      <w:r>
        <w:rPr>
          <w:rFonts w:ascii="Times New Roman" w:hAnsi="Times New Roman" w:eastAsia="宋体"/>
          <w:b w:val="0"/>
          <w:sz w:val="24"/>
        </w:rPr>
        <w:t>说明：获评2022-2023学年学风建设先进班集体因在专业大类不纳入指标奖励之列。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