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信息科学技术学院2026 年推免研究生实施细则（补充）</w:t>
      </w:r>
    </w:p>
    <w:p>
      <w:pPr>
        <w:spacing w:before="160" w:after="80" w:lineRule="auto" w:line="360"/>
        <w:jc w:val="left"/>
      </w:pPr>
      <w:r>
        <w:rPr>
          <w:rFonts w:ascii="Times New Roman" w:hAnsi="Times New Roman" w:eastAsia="宋体"/>
          <w:b/>
          <w:sz w:val="28"/>
        </w:rPr>
        <w:t>一、名额分配</w:t>
      </w:r>
    </w:p>
    <w:p>
      <w:pPr>
        <w:spacing w:after="80" w:lineRule="auto" w:line="360"/>
        <w:ind w:firstLine="482"/>
        <w:jc w:val="both"/>
      </w:pPr>
      <w:r>
        <w:rPr>
          <w:rFonts w:ascii="Times New Roman" w:hAnsi="Times New Roman" w:eastAsia="宋体"/>
          <w:b w:val="0"/>
          <w:sz w:val="24"/>
        </w:rPr>
        <w:t>发布日期：2025年9月4日</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人数</w:t>
            </w:r>
          </w:p>
        </w:tc>
        <w:tc>
          <w:tcPr>
            <w:tcW w:type="dxa" w:w="2878"/>
          </w:tcPr>
          <w:p>
            <w:pPr>
              <w:spacing w:after="20" w:before="20"/>
            </w:pPr>
            <w:r/>
            <w:r>
              <w:rPr>
                <w:rFonts w:ascii="Times New Roman" w:hAnsi="Times New Roman" w:eastAsia="宋体"/>
                <w:b/>
                <w:sz w:val="21"/>
              </w:rPr>
              <w:t>推免名额</w:t>
            </w:r>
          </w:p>
        </w:tc>
      </w:tr>
      <w:tr>
        <w:tc>
          <w:tcPr>
            <w:tcW w:type="dxa" w:w="2878"/>
          </w:tcPr>
          <w:p>
            <w:pPr>
              <w:spacing w:after="20" w:before="20"/>
            </w:pPr>
            <w:r/>
            <w:r>
              <w:rPr>
                <w:rFonts w:ascii="Times New Roman" w:hAnsi="Times New Roman" w:eastAsia="宋体"/>
                <w:b w:val="0"/>
                <w:sz w:val="21"/>
              </w:rPr>
              <w:t>计算机科学与技术1班</w:t>
            </w:r>
          </w:p>
        </w:tc>
        <w:tc>
          <w:tcPr>
            <w:tcW w:type="dxa" w:w="2878"/>
          </w:tcPr>
          <w:p>
            <w:pPr>
              <w:spacing w:after="20" w:before="20"/>
            </w:pPr>
            <w:r/>
            <w:r>
              <w:rPr>
                <w:rFonts w:ascii="Times New Roman" w:hAnsi="Times New Roman" w:eastAsia="宋体"/>
                <w:b w:val="0"/>
                <w:sz w:val="21"/>
              </w:rPr>
              <w:t>48</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计算机科学与技术2班</w:t>
            </w:r>
          </w:p>
        </w:tc>
        <w:tc>
          <w:tcPr>
            <w:tcW w:type="dxa" w:w="2878"/>
          </w:tcPr>
          <w:p>
            <w:pPr>
              <w:spacing w:after="20" w:before="20"/>
            </w:pPr>
            <w:r/>
            <w:r>
              <w:rPr>
                <w:rFonts w:ascii="Times New Roman" w:hAnsi="Times New Roman" w:eastAsia="宋体"/>
                <w:b w:val="0"/>
                <w:sz w:val="21"/>
              </w:rPr>
              <w:t>49</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电子信息工程1班</w:t>
            </w:r>
          </w:p>
        </w:tc>
        <w:tc>
          <w:tcPr>
            <w:tcW w:type="dxa" w:w="2878"/>
          </w:tcPr>
          <w:p>
            <w:pPr>
              <w:spacing w:after="20" w:before="20"/>
            </w:pPr>
            <w:r/>
            <w:r>
              <w:rPr>
                <w:rFonts w:ascii="Times New Roman" w:hAnsi="Times New Roman" w:eastAsia="宋体"/>
                <w:b w:val="0"/>
                <w:sz w:val="21"/>
              </w:rPr>
              <w:t>35</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电子信息工程2班</w:t>
            </w:r>
          </w:p>
        </w:tc>
        <w:tc>
          <w:tcPr>
            <w:tcW w:type="dxa" w:w="2878"/>
          </w:tcPr>
          <w:p>
            <w:pPr>
              <w:spacing w:after="20" w:before="20"/>
            </w:pPr>
            <w:r/>
            <w:r>
              <w:rPr>
                <w:rFonts w:ascii="Times New Roman" w:hAnsi="Times New Roman" w:eastAsia="宋体"/>
                <w:b w:val="0"/>
                <w:sz w:val="21"/>
              </w:rPr>
              <w:t>34</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数据科学与大数据技术</w:t>
            </w:r>
          </w:p>
        </w:tc>
        <w:tc>
          <w:tcPr>
            <w:tcW w:type="dxa" w:w="2878"/>
          </w:tcPr>
          <w:p>
            <w:pPr>
              <w:spacing w:after="20" w:before="20"/>
            </w:pPr>
            <w:r/>
            <w:r>
              <w:rPr>
                <w:rFonts w:ascii="Times New Roman" w:hAnsi="Times New Roman" w:eastAsia="宋体"/>
                <w:b w:val="0"/>
                <w:sz w:val="21"/>
              </w:rPr>
              <w:t>53</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信息管理与信息系统</w:t>
            </w:r>
          </w:p>
        </w:tc>
        <w:tc>
          <w:tcPr>
            <w:tcW w:type="dxa" w:w="2878"/>
          </w:tcPr>
          <w:p>
            <w:pPr>
              <w:spacing w:after="20" w:before="20"/>
            </w:pPr>
            <w:r/>
            <w:r>
              <w:rPr>
                <w:rFonts w:ascii="Times New Roman" w:hAnsi="Times New Roman" w:eastAsia="宋体"/>
                <w:b w:val="0"/>
                <w:sz w:val="21"/>
              </w:rPr>
              <w:t>45</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合计</w:t>
            </w:r>
          </w:p>
        </w:tc>
        <w:tc>
          <w:tcPr>
            <w:tcW w:type="dxa" w:w="2878"/>
          </w:tcPr>
          <w:p>
            <w:pPr>
              <w:spacing w:after="20" w:before="20"/>
            </w:pPr>
            <w:r/>
            <w:r>
              <w:rPr>
                <w:rFonts w:ascii="Times New Roman" w:hAnsi="Times New Roman" w:eastAsia="宋体"/>
                <w:b w:val="0"/>
                <w:sz w:val="21"/>
              </w:rPr>
              <w:t>264</w:t>
            </w:r>
          </w:p>
        </w:tc>
        <w:tc>
          <w:tcPr>
            <w:tcW w:type="dxa" w:w="2878"/>
          </w:tcPr>
          <w:p>
            <w:pPr>
              <w:spacing w:after="20" w:before="20"/>
            </w:pPr>
            <w:r/>
            <w:r>
              <w:rPr>
                <w:rFonts w:ascii="Times New Roman" w:hAnsi="Times New Roman" w:eastAsia="宋体"/>
                <w:b w:val="0"/>
                <w:sz w:val="21"/>
              </w:rPr>
              <w:t>17</w:t>
            </w:r>
          </w:p>
        </w:tc>
      </w:tr>
    </w:tbl>
    <w:p>
      <w:pPr>
        <w:spacing w:before="160" w:after="80" w:lineRule="auto" w:line="360"/>
        <w:jc w:val="left"/>
      </w:pPr>
      <w:r>
        <w:rPr>
          <w:rFonts w:ascii="Times New Roman" w:hAnsi="Times New Roman" w:eastAsia="宋体"/>
          <w:b/>
          <w:sz w:val="28"/>
        </w:rPr>
        <w:t>二、计分办法</w:t>
      </w:r>
    </w:p>
    <w:p>
      <w:pPr>
        <w:spacing w:after="80" w:lineRule="auto" w:line="360"/>
        <w:ind w:firstLine="482"/>
        <w:jc w:val="both"/>
      </w:pPr>
      <w:r>
        <w:rPr>
          <w:rFonts w:ascii="Times New Roman" w:hAnsi="Times New Roman" w:eastAsia="宋体"/>
          <w:b w:val="0"/>
          <w:sz w:val="24"/>
        </w:rPr>
        <w:t>由课程平均成绩和奖励成绩两部分组成，计算公式：</w:t>
      </w:r>
    </w:p>
    <w:p>
      <w:pPr>
        <w:spacing w:after="80" w:lineRule="auto" w:line="360"/>
        <w:ind w:firstLine="482"/>
        <w:jc w:val="both"/>
      </w:pPr>
      <w:r>
        <w:rPr>
          <w:rFonts w:ascii="Times New Roman" w:hAnsi="Times New Roman" w:eastAsia="宋体"/>
          <w:b w:val="0"/>
          <w:sz w:val="24"/>
        </w:rPr>
        <w:t>综合成绩=平均学业成绩×80%+奖励成绩×20%</w:t>
      </w:r>
    </w:p>
    <w:p>
      <w:pPr>
        <w:spacing w:after="80" w:lineRule="auto" w:line="360"/>
        <w:ind w:firstLine="482"/>
        <w:jc w:val="both"/>
      </w:pPr>
      <w:r>
        <w:rPr>
          <w:rFonts w:ascii="Times New Roman" w:hAnsi="Times New Roman" w:eastAsia="宋体"/>
          <w:b w:val="0"/>
          <w:sz w:val="24"/>
        </w:rPr>
        <w:t>1. 平均学业成绩（百分制）</w:t>
      </w:r>
    </w:p>
    <w:p>
      <w:pPr>
        <w:spacing w:after="80" w:lineRule="auto" w:line="360"/>
        <w:ind w:firstLine="482"/>
        <w:jc w:val="both"/>
      </w:pPr>
      <w:r>
        <w:rPr>
          <w:rFonts w:ascii="Times New Roman" w:hAnsi="Times New Roman" w:eastAsia="宋体"/>
          <w:b w:val="0"/>
          <w:sz w:val="24"/>
        </w:rPr>
        <w:t>按照学校本科生课程平均成绩计算办法计算。（教学办蔡老师负责）</w:t>
      </w:r>
    </w:p>
    <w:p>
      <w:pPr>
        <w:spacing w:after="80" w:lineRule="auto" w:line="360"/>
        <w:ind w:firstLine="482"/>
        <w:jc w:val="both"/>
      </w:pPr>
      <w:r>
        <w:rPr>
          <w:rFonts w:ascii="Times New Roman" w:hAnsi="Times New Roman" w:eastAsia="宋体"/>
          <w:b w:val="0"/>
          <w:sz w:val="24"/>
        </w:rPr>
        <w:t>2. 奖励成绩（百分制）</w:t>
      </w:r>
    </w:p>
    <w:p>
      <w:pPr>
        <w:spacing w:after="80" w:lineRule="auto" w:line="360"/>
        <w:ind w:firstLine="482"/>
        <w:jc w:val="both"/>
      </w:pPr>
      <w:r>
        <w:rPr>
          <w:rFonts w:ascii="Times New Roman" w:hAnsi="Times New Roman" w:eastAsia="宋体"/>
          <w:b w:val="0"/>
          <w:sz w:val="24"/>
        </w:rPr>
        <w:t>按照《信息科学技术学院本科生综合素质测评实施细则》（甘农大信科发〔2024〕7号）个人奖励标准分类计算。（学生办江老师负责）</w:t>
      </w:r>
    </w:p>
    <w:p>
      <w:pPr>
        <w:spacing w:after="80" w:lineRule="auto" w:line="360"/>
        <w:ind w:firstLine="482"/>
        <w:jc w:val="both"/>
      </w:pPr>
      <w:r>
        <w:rPr>
          <w:rFonts w:ascii="Times New Roman" w:hAnsi="Times New Roman" w:eastAsia="宋体"/>
          <w:b w:val="0"/>
          <w:sz w:val="24"/>
        </w:rPr>
        <w:t>奖励分参考标准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项目</w:t>
            </w:r>
          </w:p>
        </w:tc>
        <w:tc>
          <w:tcPr>
            <w:tcW w:type="dxa" w:w="1439"/>
          </w:tcPr>
          <w:p>
            <w:pPr>
              <w:spacing w:after="20" w:before="20"/>
            </w:pPr>
            <w:r/>
            <w:r>
              <w:rPr>
                <w:rFonts w:ascii="Times New Roman" w:hAnsi="Times New Roman" w:eastAsia="宋体"/>
                <w:b/>
                <w:sz w:val="21"/>
              </w:rPr>
              <w:t>国家级</w:t>
            </w:r>
          </w:p>
        </w:tc>
        <w:tc>
          <w:tcPr>
            <w:tcW w:type="dxa" w:w="1439"/>
          </w:tcPr>
          <w:p>
            <w:pPr>
              <w:spacing w:after="20" w:before="20"/>
            </w:pPr>
            <w:r/>
            <w:r>
              <w:rPr>
                <w:rFonts w:ascii="Times New Roman" w:hAnsi="Times New Roman" w:eastAsia="宋体"/>
                <w:b/>
                <w:sz w:val="21"/>
              </w:rPr>
              <w:t>省级</w:t>
            </w:r>
          </w:p>
        </w:tc>
        <w:tc>
          <w:tcPr>
            <w:tcW w:type="dxa" w:w="1439"/>
          </w:tcPr>
          <w:p>
            <w:pPr>
              <w:spacing w:after="20" w:before="20"/>
            </w:pPr>
            <w:r/>
            <w:r>
              <w:rPr>
                <w:rFonts w:ascii="Times New Roman" w:hAnsi="Times New Roman" w:eastAsia="宋体"/>
                <w:b/>
                <w:sz w:val="21"/>
              </w:rPr>
              <w:t>校级</w:t>
            </w:r>
          </w:p>
        </w:tc>
        <w:tc>
          <w:tcPr>
            <w:tcW w:type="dxa" w:w="1439"/>
          </w:tcPr>
          <w:p>
            <w:pPr>
              <w:spacing w:after="20" w:before="20"/>
            </w:pPr>
            <w:r/>
            <w:r>
              <w:rPr>
                <w:rFonts w:ascii="Times New Roman" w:hAnsi="Times New Roman" w:eastAsia="宋体"/>
                <w:b/>
                <w:sz w:val="21"/>
              </w:rPr>
              <w:t>院级</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荣获先进个人</w:t>
            </w:r>
          </w:p>
        </w:tc>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3</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积极参与国防建设（不累加）</w:t>
            </w:r>
          </w:p>
        </w:tc>
        <w:tc>
          <w:tcPr>
            <w:tcW w:type="dxa" w:w="1439"/>
          </w:tcPr>
          <w:p>
            <w:pPr>
              <w:spacing w:after="20" w:before="20"/>
            </w:pPr>
            <w:r/>
            <w:r>
              <w:rPr>
                <w:rFonts w:ascii="Times New Roman" w:hAnsi="Times New Roman" w:eastAsia="宋体"/>
                <w:b w:val="0"/>
                <w:sz w:val="21"/>
              </w:rPr>
              <w:t>政审合格入伍14</w:t>
            </w:r>
          </w:p>
        </w:tc>
        <w:tc>
          <w:tcPr>
            <w:tcW w:type="dxa" w:w="1439"/>
          </w:tcPr>
          <w:p>
            <w:pPr>
              <w:spacing w:after="20" w:before="20"/>
            </w:pPr>
            <w:r/>
            <w:r>
              <w:rPr>
                <w:rFonts w:ascii="Times New Roman" w:hAnsi="Times New Roman" w:eastAsia="宋体"/>
                <w:b w:val="0"/>
                <w:sz w:val="21"/>
              </w:rPr>
              <w:t>上站体检合格10</w:t>
            </w:r>
          </w:p>
        </w:tc>
        <w:tc>
          <w:tcPr>
            <w:tcW w:type="dxa" w:w="1439"/>
          </w:tcPr>
          <w:p>
            <w:pPr>
              <w:spacing w:after="20" w:before="20"/>
            </w:pPr>
            <w:r/>
            <w:r>
              <w:rPr>
                <w:rFonts w:ascii="Times New Roman" w:hAnsi="Times New Roman" w:eastAsia="宋体"/>
                <w:b w:val="0"/>
                <w:sz w:val="21"/>
              </w:rPr>
              <w:t>征兵报名成功8</w:t>
            </w:r>
          </w:p>
        </w:tc>
        <w:tc>
          <w:tcPr>
            <w:tcW w:type="dxa" w:w="1439"/>
          </w:tcPr>
          <w:p>
            <w:pPr>
              <w:spacing w:after="20" w:before="20"/>
            </w:pPr>
            <w:r/>
            <w:r>
              <w:rPr>
                <w:rFonts w:ascii="Times New Roman" w:hAnsi="Times New Roman" w:eastAsia="宋体"/>
                <w:b w:val="0"/>
                <w:sz w:val="21"/>
              </w:rPr>
              <w:t>3</w:t>
            </w:r>
          </w:p>
        </w:tc>
      </w:tr>
    </w:tbl>
    <w:p>
      <w:pPr>
        <w:spacing w:after="80" w:lineRule="auto" w:line="360"/>
        <w:ind w:firstLine="482"/>
        <w:jc w:val="both"/>
      </w:pPr>
      <w:r>
        <w:rPr>
          <w:rFonts w:ascii="Times New Roman" w:hAnsi="Times New Roman" w:eastAsia="宋体"/>
          <w:b w:val="0"/>
          <w:sz w:val="24"/>
        </w:rPr>
        <w:t>荣获先进个人：如优秀党（团）员、团干部、青年志愿者、学生干部、宿舍长、心理委员、军训学员、记者、通讯员、社会实践先进个人、宣讲员等，同类型表彰按照最高级别加分，不同类可累加，市级先进个人按照校级证书加分。</w:t>
      </w:r>
    </w:p>
    <w:p>
      <w:pPr>
        <w:spacing w:after="80" w:lineRule="auto" w:line="360"/>
        <w:ind w:firstLine="482"/>
        <w:jc w:val="both"/>
      </w:pPr>
      <w:r>
        <w:rPr>
          <w:rFonts w:ascii="Times New Roman" w:hAnsi="Times New Roman" w:eastAsia="宋体"/>
          <w:b w:val="0"/>
          <w:sz w:val="24"/>
        </w:rPr>
        <w:t>参加中国国际大学生创新大赛获奖（个人或团队负责人）：</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国家级</w:t>
            </w:r>
          </w:p>
        </w:tc>
        <w:tc>
          <w:tcPr>
            <w:tcW w:type="dxa" w:w="2158"/>
          </w:tcPr>
          <w:p>
            <w:pPr>
              <w:spacing w:after="20" w:before="20"/>
            </w:pPr>
            <w:r/>
            <w:r>
              <w:rPr>
                <w:rFonts w:ascii="Times New Roman" w:hAnsi="Times New Roman" w:eastAsia="宋体"/>
                <w:b/>
                <w:sz w:val="21"/>
              </w:rPr>
              <w:t>省级</w:t>
            </w:r>
          </w:p>
        </w:tc>
        <w:tc>
          <w:tcPr>
            <w:tcW w:type="dxa" w:w="2158"/>
          </w:tcPr>
          <w:p>
            <w:pPr>
              <w:spacing w:after="20" w:before="20"/>
            </w:pPr>
            <w:r/>
            <w:r>
              <w:rPr>
                <w:rFonts w:ascii="Times New Roman" w:hAnsi="Times New Roman" w:eastAsia="宋体"/>
                <w:b/>
                <w:sz w:val="21"/>
              </w:rPr>
              <w:t>校级</w:t>
            </w:r>
          </w:p>
        </w:tc>
        <w:tc>
          <w:tcPr>
            <w:tcW w:type="dxa" w:w="2158"/>
          </w:tcPr>
          <w:p>
            <w:pPr>
              <w:spacing w:after="20" w:before="20"/>
            </w:pPr>
            <w:r/>
            <w:r>
              <w:rPr>
                <w:rFonts w:ascii="Times New Roman" w:hAnsi="Times New Roman" w:eastAsia="宋体"/>
                <w:b/>
                <w:sz w:val="21"/>
              </w:rPr>
              <w:t>院级</w:t>
            </w:r>
          </w:p>
        </w:tc>
      </w:tr>
      <w:tr>
        <w:tc>
          <w:tcPr>
            <w:tcW w:type="dxa" w:w="2158"/>
          </w:tcPr>
          <w:p>
            <w:pPr>
              <w:spacing w:after="20" w:before="20"/>
            </w:pPr>
            <w:r/>
            <w:r>
              <w:rPr>
                <w:rFonts w:ascii="Times New Roman" w:hAnsi="Times New Roman" w:eastAsia="宋体"/>
                <w:b w:val="0"/>
                <w:sz w:val="21"/>
              </w:rPr>
              <w:t>一等30、二等24、三等20、其他14</w:t>
            </w:r>
          </w:p>
        </w:tc>
        <w:tc>
          <w:tcPr>
            <w:tcW w:type="dxa" w:w="2158"/>
          </w:tcPr>
          <w:p>
            <w:pPr>
              <w:spacing w:after="20" w:before="20"/>
            </w:pPr>
            <w:r/>
            <w:r>
              <w:rPr>
                <w:rFonts w:ascii="Times New Roman" w:hAnsi="Times New Roman" w:eastAsia="宋体"/>
                <w:b w:val="0"/>
                <w:sz w:val="21"/>
              </w:rPr>
              <w:t>一等17、二等15、三等13、其他9</w:t>
            </w:r>
          </w:p>
        </w:tc>
        <w:tc>
          <w:tcPr>
            <w:tcW w:type="dxa" w:w="2158"/>
          </w:tcPr>
          <w:p>
            <w:pPr>
              <w:spacing w:after="20" w:before="20"/>
            </w:pPr>
            <w:r/>
            <w:r>
              <w:rPr>
                <w:rFonts w:ascii="Times New Roman" w:hAnsi="Times New Roman" w:eastAsia="宋体"/>
                <w:b w:val="0"/>
                <w:sz w:val="21"/>
              </w:rPr>
              <w:t>一等10、二等8、三等6、其他4</w:t>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参加学科专业、创新创业、职业生涯规划等竞赛获奖（个人或团队负责人）：</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国家级</w:t>
            </w:r>
          </w:p>
        </w:tc>
        <w:tc>
          <w:tcPr>
            <w:tcW w:type="dxa" w:w="2158"/>
          </w:tcPr>
          <w:p>
            <w:pPr>
              <w:spacing w:after="20" w:before="20"/>
            </w:pPr>
            <w:r/>
            <w:r>
              <w:rPr>
                <w:rFonts w:ascii="Times New Roman" w:hAnsi="Times New Roman" w:eastAsia="宋体"/>
                <w:b/>
                <w:sz w:val="21"/>
              </w:rPr>
              <w:t>省级</w:t>
            </w:r>
          </w:p>
        </w:tc>
        <w:tc>
          <w:tcPr>
            <w:tcW w:type="dxa" w:w="2158"/>
          </w:tcPr>
          <w:p>
            <w:pPr>
              <w:spacing w:after="20" w:before="20"/>
            </w:pPr>
            <w:r/>
            <w:r>
              <w:rPr>
                <w:rFonts w:ascii="Times New Roman" w:hAnsi="Times New Roman" w:eastAsia="宋体"/>
                <w:b/>
                <w:sz w:val="21"/>
              </w:rPr>
              <w:t>校级</w:t>
            </w:r>
          </w:p>
        </w:tc>
        <w:tc>
          <w:tcPr>
            <w:tcW w:type="dxa" w:w="2158"/>
          </w:tcPr>
          <w:p>
            <w:pPr>
              <w:spacing w:after="20" w:before="20"/>
            </w:pPr>
            <w:r/>
            <w:r>
              <w:rPr>
                <w:rFonts w:ascii="Times New Roman" w:hAnsi="Times New Roman" w:eastAsia="宋体"/>
                <w:b/>
                <w:sz w:val="21"/>
              </w:rPr>
              <w:t>院级</w:t>
            </w:r>
          </w:p>
        </w:tc>
      </w:tr>
      <w:tr>
        <w:tc>
          <w:tcPr>
            <w:tcW w:type="dxa" w:w="2158"/>
          </w:tcPr>
          <w:p>
            <w:pPr>
              <w:spacing w:after="20" w:before="20"/>
            </w:pPr>
            <w:r/>
            <w:r>
              <w:rPr>
                <w:rFonts w:ascii="Times New Roman" w:hAnsi="Times New Roman" w:eastAsia="宋体"/>
                <w:b w:val="0"/>
                <w:sz w:val="21"/>
              </w:rPr>
              <w:t>20、18、16、12</w:t>
            </w:r>
          </w:p>
        </w:tc>
        <w:tc>
          <w:tcPr>
            <w:tcW w:type="dxa" w:w="2158"/>
          </w:tcPr>
          <w:p>
            <w:pPr>
              <w:spacing w:after="20" w:before="20"/>
            </w:pPr>
            <w:r/>
            <w:r>
              <w:rPr>
                <w:rFonts w:ascii="Times New Roman" w:hAnsi="Times New Roman" w:eastAsia="宋体"/>
                <w:b w:val="0"/>
                <w:sz w:val="21"/>
              </w:rPr>
              <w:t>14、12、10、7</w:t>
            </w:r>
          </w:p>
        </w:tc>
        <w:tc>
          <w:tcPr>
            <w:tcW w:type="dxa" w:w="2158"/>
          </w:tcPr>
          <w:p>
            <w:pPr>
              <w:spacing w:after="20" w:before="20"/>
            </w:pPr>
            <w:r/>
            <w:r>
              <w:rPr>
                <w:rFonts w:ascii="Times New Roman" w:hAnsi="Times New Roman" w:eastAsia="宋体"/>
                <w:b w:val="0"/>
                <w:sz w:val="21"/>
              </w:rPr>
              <w:t>8、6、4、2</w:t>
            </w:r>
          </w:p>
        </w:tc>
        <w:tc>
          <w:tcPr>
            <w:tcW w:type="dxa" w:w="2158"/>
          </w:tcPr>
          <w:p>
            <w:pPr>
              <w:spacing w:after="20" w:before="20"/>
            </w:pPr>
            <w:r/>
            <w:r>
              <w:rPr>
                <w:rFonts w:ascii="Times New Roman" w:hAnsi="Times New Roman" w:eastAsia="宋体"/>
                <w:b w:val="0"/>
                <w:sz w:val="21"/>
              </w:rPr>
              <w:t>5、4、2、1</w:t>
            </w:r>
          </w:p>
        </w:tc>
      </w:tr>
    </w:tbl>
    <w:p>
      <w:pPr>
        <w:spacing w:after="80" w:lineRule="auto" w:line="360"/>
        <w:ind w:firstLine="482"/>
        <w:jc w:val="both"/>
      </w:pPr>
      <w:r>
        <w:rPr>
          <w:rFonts w:ascii="Times New Roman" w:hAnsi="Times New Roman" w:eastAsia="宋体"/>
          <w:b w:val="0"/>
          <w:sz w:val="24"/>
        </w:rPr>
        <w:t>团队其他成员在此基础上减分（国家级、省级比赛减4分，校级比赛减3分，院级比赛减2分），团队成员最低不少于0.5分，参与者累计加分不超过3项；同一竞赛的不同级别只取最高分计算，不同竞赛可累加，如设特等奖等同一等奖；市、县（区）级比赛按照校级加分，社会其他协会奖项等同院级。</w:t>
      </w:r>
    </w:p>
    <w:p>
      <w:pPr>
        <w:spacing w:after="80" w:lineRule="auto" w:line="360"/>
        <w:ind w:firstLine="482"/>
        <w:jc w:val="both"/>
      </w:pPr>
      <w:r>
        <w:rPr>
          <w:rFonts w:ascii="Times New Roman" w:hAnsi="Times New Roman" w:eastAsia="宋体"/>
          <w:b w:val="0"/>
          <w:sz w:val="24"/>
        </w:rPr>
        <w:t>参加大学生创新创业训练计划项目并顺利结题（个人或主持人）：</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国家级</w:t>
            </w:r>
          </w:p>
        </w:tc>
        <w:tc>
          <w:tcPr>
            <w:tcW w:type="dxa" w:w="2878"/>
          </w:tcPr>
          <w:p>
            <w:pPr>
              <w:spacing w:after="20" w:before="20"/>
            </w:pPr>
            <w:r/>
            <w:r>
              <w:rPr>
                <w:rFonts w:ascii="Times New Roman" w:hAnsi="Times New Roman" w:eastAsia="宋体"/>
                <w:b/>
                <w:sz w:val="21"/>
              </w:rPr>
              <w:t>省级</w:t>
            </w:r>
          </w:p>
        </w:tc>
        <w:tc>
          <w:tcPr>
            <w:tcW w:type="dxa" w:w="2878"/>
          </w:tcPr>
          <w:p>
            <w:pPr>
              <w:spacing w:after="20" w:before="20"/>
            </w:pPr>
            <w:r/>
            <w:r>
              <w:rPr>
                <w:rFonts w:ascii="Times New Roman" w:hAnsi="Times New Roman" w:eastAsia="宋体"/>
                <w:b/>
                <w:sz w:val="21"/>
              </w:rPr>
              <w:t>校级</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after="80" w:lineRule="auto" w:line="360"/>
        <w:ind w:firstLine="482"/>
        <w:jc w:val="both"/>
      </w:pPr>
      <w:r>
        <w:rPr>
          <w:rFonts w:ascii="Times New Roman" w:hAnsi="Times New Roman" w:eastAsia="宋体"/>
          <w:b w:val="0"/>
          <w:sz w:val="24"/>
        </w:rPr>
        <w:t>项目成员按国家级4分、省级3分、校级2分计算，不同级别项目只取最高分。</w:t>
      </w:r>
    </w:p>
    <w:p>
      <w:pPr>
        <w:spacing w:after="80" w:lineRule="auto" w:line="360"/>
        <w:ind w:firstLine="482"/>
        <w:jc w:val="both"/>
      </w:pPr>
      <w:r>
        <w:rPr>
          <w:rFonts w:ascii="Times New Roman" w:hAnsi="Times New Roman" w:eastAsia="宋体"/>
          <w:b w:val="0"/>
          <w:sz w:val="24"/>
        </w:rPr>
        <w:t>发表论文（一作一单位）：</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A1类</w:t>
            </w:r>
          </w:p>
        </w:tc>
        <w:tc>
          <w:tcPr>
            <w:tcW w:type="dxa" w:w="1727"/>
          </w:tcPr>
          <w:p>
            <w:pPr>
              <w:spacing w:after="20" w:before="20"/>
            </w:pPr>
            <w:r/>
            <w:r>
              <w:rPr>
                <w:rFonts w:ascii="Times New Roman" w:hAnsi="Times New Roman" w:eastAsia="宋体"/>
                <w:b/>
                <w:sz w:val="21"/>
              </w:rPr>
              <w:t>A2类</w:t>
            </w:r>
          </w:p>
        </w:tc>
        <w:tc>
          <w:tcPr>
            <w:tcW w:type="dxa" w:w="1727"/>
          </w:tcPr>
          <w:p>
            <w:pPr>
              <w:spacing w:after="20" w:before="20"/>
            </w:pPr>
            <w:r/>
            <w:r>
              <w:rPr>
                <w:rFonts w:ascii="Times New Roman" w:hAnsi="Times New Roman" w:eastAsia="宋体"/>
                <w:b/>
                <w:sz w:val="21"/>
              </w:rPr>
              <w:t>A3类</w:t>
            </w:r>
          </w:p>
        </w:tc>
        <w:tc>
          <w:tcPr>
            <w:tcW w:type="dxa" w:w="1727"/>
          </w:tcPr>
          <w:p>
            <w:pPr>
              <w:spacing w:after="20" w:before="20"/>
            </w:pPr>
            <w:r/>
            <w:r>
              <w:rPr>
                <w:rFonts w:ascii="Times New Roman" w:hAnsi="Times New Roman" w:eastAsia="宋体"/>
                <w:b/>
                <w:sz w:val="21"/>
              </w:rPr>
              <w:t>B类</w:t>
            </w:r>
          </w:p>
        </w:tc>
        <w:tc>
          <w:tcPr>
            <w:tcW w:type="dxa" w:w="1727"/>
          </w:tcPr>
          <w:p>
            <w:pPr>
              <w:spacing w:after="20" w:before="20"/>
            </w:pPr>
            <w:r/>
            <w:r>
              <w:rPr>
                <w:rFonts w:ascii="Times New Roman" w:hAnsi="Times New Roman" w:eastAsia="宋体"/>
                <w:b/>
                <w:sz w:val="21"/>
              </w:rPr>
              <w:t>C类</w:t>
            </w:r>
          </w:p>
        </w:tc>
      </w:tr>
      <w:tr>
        <w:tc>
          <w:tcPr>
            <w:tcW w:type="dxa" w:w="1727"/>
          </w:tcPr>
          <w:p>
            <w:pPr>
              <w:spacing w:after="20" w:before="20"/>
            </w:pPr>
            <w:r/>
            <w:r>
              <w:rPr>
                <w:rFonts w:ascii="Times New Roman" w:hAnsi="Times New Roman" w:eastAsia="宋体"/>
                <w:b w:val="0"/>
                <w:sz w:val="21"/>
              </w:rPr>
              <w:t>50</w:t>
            </w:r>
          </w:p>
        </w:tc>
        <w:tc>
          <w:tcPr>
            <w:tcW w:type="dxa" w:w="1727"/>
          </w:tcPr>
          <w:p>
            <w:pPr>
              <w:spacing w:after="20" w:before="20"/>
            </w:pPr>
            <w:r/>
            <w:r>
              <w:rPr>
                <w:rFonts w:ascii="Times New Roman" w:hAnsi="Times New Roman" w:eastAsia="宋体"/>
                <w:b w:val="0"/>
                <w:sz w:val="21"/>
              </w:rPr>
              <w:t>40</w:t>
            </w:r>
          </w:p>
        </w:tc>
        <w:tc>
          <w:tcPr>
            <w:tcW w:type="dxa" w:w="1727"/>
          </w:tcPr>
          <w:p>
            <w:pPr>
              <w:spacing w:after="20" w:before="20"/>
            </w:pPr>
            <w:r/>
            <w:r>
              <w:rPr>
                <w:rFonts w:ascii="Times New Roman" w:hAnsi="Times New Roman" w:eastAsia="宋体"/>
                <w:b w:val="0"/>
                <w:sz w:val="21"/>
              </w:rPr>
              <w:t>30</w:t>
            </w:r>
          </w:p>
        </w:tc>
        <w:tc>
          <w:tcPr>
            <w:tcW w:type="dxa" w:w="1727"/>
          </w:tcPr>
          <w:p>
            <w:pPr>
              <w:spacing w:after="20" w:before="20"/>
            </w:pPr>
            <w:r/>
            <w:r>
              <w:rPr>
                <w:rFonts w:ascii="Times New Roman" w:hAnsi="Times New Roman" w:eastAsia="宋体"/>
                <w:b w:val="0"/>
                <w:sz w:val="21"/>
              </w:rPr>
              <w:t>20</w:t>
            </w:r>
          </w:p>
        </w:tc>
        <w:tc>
          <w:tcPr>
            <w:tcW w:type="dxa" w:w="1727"/>
          </w:tcPr>
          <w:p>
            <w:pPr>
              <w:spacing w:after="20" w:before="20"/>
            </w:pPr>
            <w:r/>
            <w:r>
              <w:rPr>
                <w:rFonts w:ascii="Times New Roman" w:hAnsi="Times New Roman" w:eastAsia="宋体"/>
                <w:b w:val="0"/>
                <w:sz w:val="21"/>
              </w:rPr>
              <w:t>12</w:t>
            </w:r>
          </w:p>
        </w:tc>
      </w:tr>
    </w:tbl>
    <w:p>
      <w:pPr>
        <w:spacing w:after="80" w:lineRule="auto" w:line="360"/>
        <w:ind w:firstLine="482"/>
        <w:jc w:val="both"/>
      </w:pPr>
      <w:r>
        <w:rPr>
          <w:rFonts w:ascii="Times New Roman" w:hAnsi="Times New Roman" w:eastAsia="宋体"/>
          <w:b w:val="0"/>
          <w:sz w:val="24"/>
        </w:rPr>
        <w:t>论文分类参照甘肃农业大学专业技术职务评审办法中关于学术期刊分类的认定，其他参与者按照顺序依次递减4分，参与者最低为1分。</w:t>
      </w:r>
    </w:p>
    <w:p>
      <w:pPr>
        <w:spacing w:after="80" w:lineRule="auto" w:line="360"/>
        <w:ind w:firstLine="482"/>
        <w:jc w:val="both"/>
      </w:pPr>
      <w:r>
        <w:rPr>
          <w:rFonts w:ascii="Times New Roman" w:hAnsi="Times New Roman" w:eastAsia="宋体"/>
          <w:b w:val="0"/>
          <w:sz w:val="24"/>
        </w:rPr>
        <w:t>授权发明专利（一作一单位）：30分。其他参与者按照顺序依次递减5分，参与者最低不少于1分。</w:t>
      </w:r>
    </w:p>
    <w:p>
      <w:pPr>
        <w:spacing w:after="80" w:lineRule="auto" w:line="360"/>
        <w:ind w:firstLine="482"/>
        <w:jc w:val="both"/>
      </w:pPr>
      <w:r>
        <w:rPr>
          <w:rFonts w:ascii="Times New Roman" w:hAnsi="Times New Roman" w:eastAsia="宋体"/>
          <w:b w:val="0"/>
          <w:sz w:val="24"/>
        </w:rPr>
        <w:t>软件著作、授权实用新型专利、外观设计（一作一单位）：12分。其他参与者按照顺序依次递减3分，参与者最低不少于1分。</w:t>
      </w:r>
    </w:p>
    <w:p>
      <w:pPr>
        <w:spacing w:after="80" w:lineRule="auto" w:line="360"/>
        <w:ind w:firstLine="482"/>
        <w:jc w:val="both"/>
      </w:pPr>
      <w:r>
        <w:rPr>
          <w:rFonts w:ascii="Times New Roman" w:hAnsi="Times New Roman" w:eastAsia="宋体"/>
          <w:b w:val="0"/>
          <w:sz w:val="24"/>
        </w:rPr>
        <w:t>通过计算机二级及以上等级考试：6分。</w:t>
      </w:r>
    </w:p>
    <w:p>
      <w:pPr>
        <w:spacing w:after="80" w:lineRule="auto" w:line="360"/>
        <w:ind w:firstLine="482"/>
        <w:jc w:val="both"/>
      </w:pPr>
      <w:r>
        <w:rPr>
          <w:rFonts w:ascii="Times New Roman" w:hAnsi="Times New Roman" w:eastAsia="宋体"/>
          <w:b w:val="0"/>
          <w:sz w:val="24"/>
        </w:rPr>
        <w:t>通过英语六级：6分。</w:t>
      </w:r>
    </w:p>
    <w:p>
      <w:pPr>
        <w:spacing w:before="160" w:after="80" w:lineRule="auto" w:line="360"/>
        <w:jc w:val="left"/>
      </w:pPr>
      <w:r>
        <w:rPr>
          <w:rFonts w:ascii="Times New Roman" w:hAnsi="Times New Roman" w:eastAsia="宋体"/>
          <w:b/>
          <w:sz w:val="28"/>
        </w:rPr>
        <w:t>三、相关要求</w:t>
      </w:r>
    </w:p>
    <w:p>
      <w:pPr>
        <w:spacing w:after="80" w:lineRule="auto" w:line="360"/>
        <w:ind w:firstLine="482"/>
        <w:jc w:val="both"/>
      </w:pPr>
      <w:r>
        <w:rPr>
          <w:rFonts w:ascii="Times New Roman" w:hAnsi="Times New Roman" w:eastAsia="宋体"/>
          <w:b w:val="0"/>
          <w:sz w:val="24"/>
        </w:rPr>
        <w:t>1. 时间节点</w:t>
      </w:r>
    </w:p>
    <w:p>
      <w:pPr>
        <w:spacing w:after="80" w:lineRule="auto" w:line="360"/>
        <w:ind w:firstLine="482"/>
        <w:jc w:val="both"/>
      </w:pPr>
      <w:r>
        <w:rPr>
          <w:rFonts w:ascii="Times New Roman" w:hAnsi="Times New Roman" w:eastAsia="宋体"/>
          <w:b w:val="0"/>
          <w:sz w:val="24"/>
        </w:rPr>
        <w:t>9月4日-8日，学生本人申请，班主任审核，班内公示；</w:t>
      </w:r>
    </w:p>
    <w:p>
      <w:pPr>
        <w:spacing w:after="80" w:lineRule="auto" w:line="360"/>
        <w:ind w:firstLine="482"/>
        <w:jc w:val="both"/>
      </w:pPr>
      <w:r>
        <w:rPr>
          <w:rFonts w:ascii="Times New Roman" w:hAnsi="Times New Roman" w:eastAsia="宋体"/>
          <w:b w:val="0"/>
          <w:sz w:val="24"/>
        </w:rPr>
        <w:t>9月9日-11日，学院审核、汇总、公示、上报。</w:t>
      </w:r>
    </w:p>
    <w:p>
      <w:pPr>
        <w:spacing w:after="80" w:lineRule="auto" w:line="360"/>
        <w:ind w:firstLine="482"/>
        <w:jc w:val="both"/>
      </w:pPr>
      <w:r>
        <w:rPr>
          <w:rFonts w:ascii="Times New Roman" w:hAnsi="Times New Roman" w:eastAsia="宋体"/>
          <w:b w:val="0"/>
          <w:sz w:val="24"/>
        </w:rPr>
        <w:t>2. 推荐过程</w:t>
      </w:r>
    </w:p>
    <w:p>
      <w:pPr>
        <w:spacing w:after="80" w:lineRule="auto" w:line="360"/>
        <w:ind w:firstLine="482"/>
        <w:jc w:val="both"/>
      </w:pPr>
      <w:r>
        <w:rPr>
          <w:rFonts w:ascii="Times New Roman" w:hAnsi="Times New Roman" w:eastAsia="宋体"/>
          <w:b w:val="0"/>
          <w:sz w:val="24"/>
        </w:rPr>
        <w:t>1）确保公平公正公开；</w:t>
      </w:r>
    </w:p>
    <w:p>
      <w:pPr>
        <w:spacing w:after="80" w:lineRule="auto" w:line="360"/>
        <w:ind w:firstLine="482"/>
        <w:jc w:val="both"/>
      </w:pPr>
      <w:r>
        <w:rPr>
          <w:rFonts w:ascii="Times New Roman" w:hAnsi="Times New Roman" w:eastAsia="宋体"/>
          <w:b w:val="0"/>
          <w:sz w:val="24"/>
        </w:rPr>
        <w:t>2）严格按照推选条件及计分办法推选；</w:t>
      </w:r>
    </w:p>
    <w:p>
      <w:pPr>
        <w:spacing w:after="80" w:lineRule="auto" w:line="360"/>
        <w:ind w:firstLine="482"/>
        <w:jc w:val="both"/>
      </w:pPr>
      <w:r>
        <w:rPr>
          <w:rFonts w:ascii="Times New Roman" w:hAnsi="Times New Roman" w:eastAsia="宋体"/>
          <w:b w:val="0"/>
          <w:sz w:val="24"/>
        </w:rPr>
        <w:t>3）班级公示无异议后，方可将最终推选人证明材料、计分表纸质材料以班为单位报送学生工作办公室审核，计分表纸质版需班主任签字。</w:t>
      </w:r>
    </w:p>
    <w:p>
      <w:pPr>
        <w:spacing w:after="80" w:lineRule="auto" w:line="360"/>
        <w:ind w:firstLine="482"/>
        <w:jc w:val="both"/>
      </w:pPr>
      <w:r>
        <w:rPr>
          <w:rFonts w:ascii="Times New Roman" w:hAnsi="Times New Roman" w:eastAsia="宋体"/>
          <w:b w:val="0"/>
          <w:sz w:val="24"/>
        </w:rPr>
        <w:t>4）如在推免过程中弄虚作假等其他严重影响推免过程和结果公平公正行为的学生，一经审查，取消推免资格。</w:t>
      </w:r>
    </w:p>
    <w:p>
      <w:pPr>
        <w:spacing w:after="80" w:lineRule="auto" w:line="360"/>
        <w:ind w:firstLine="482"/>
        <w:jc w:val="both"/>
      </w:pPr>
      <w:r>
        <w:rPr>
          <w:rFonts w:ascii="Times New Roman" w:hAnsi="Times New Roman" w:eastAsia="宋体"/>
          <w:b w:val="0"/>
          <w:sz w:val="24"/>
        </w:rPr>
        <w:t>信息科学技术学院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