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一、推荐与接收办法概述</w:t>
      </w:r>
    </w:p>
    <w:p>
      <w:pPr>
        <w:spacing w:after="80" w:lineRule="auto" w:line="360"/>
        <w:ind w:firstLine="482"/>
        <w:jc w:val="both"/>
      </w:pPr>
      <w:r>
        <w:rPr>
          <w:rFonts w:ascii="Times New Roman" w:hAnsi="Times New Roman" w:eastAsia="宋体"/>
          <w:b w:val="0"/>
          <w:sz w:val="24"/>
        </w:rPr>
        <w:t>发布日期（推定）：2025年9月19日</w:t>
      </w:r>
    </w:p>
    <w:p>
      <w:pPr>
        <w:spacing w:after="80" w:lineRule="auto" w:line="360"/>
        <w:ind w:firstLine="482"/>
        <w:jc w:val="both"/>
      </w:pPr>
      <w:r>
        <w:rPr>
          <w:rFonts w:ascii="Times New Roman" w:hAnsi="Times New Roman" w:eastAsia="宋体"/>
          <w:b w:val="0"/>
          <w:sz w:val="24"/>
        </w:rPr>
        <w:t>1. 本办法适用于黑龙江科技大学推荐与接收优秀应届本科毕业生免试攻读硕士研究生工作。</w:t>
      </w:r>
    </w:p>
    <w:p>
      <w:pPr>
        <w:spacing w:after="80" w:lineRule="auto" w:line="360"/>
        <w:ind w:firstLine="482"/>
        <w:jc w:val="both"/>
      </w:pPr>
      <w:r>
        <w:rPr>
          <w:rFonts w:ascii="Times New Roman" w:hAnsi="Times New Roman" w:eastAsia="宋体"/>
          <w:b w:val="0"/>
          <w:sz w:val="24"/>
        </w:rPr>
        <w:t>2. 办法内容涵盖推荐条件、接收流程及相关管理要求。</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申请者须为我校优秀应届本科毕业生，符合国家及学校规定的推免基本条件。</w:t>
      </w:r>
    </w:p>
    <w:p>
      <w:pPr>
        <w:spacing w:after="80" w:lineRule="auto" w:line="360"/>
        <w:ind w:firstLine="482"/>
        <w:jc w:val="both"/>
      </w:pPr>
      <w:r>
        <w:rPr>
          <w:rFonts w:ascii="Times New Roman" w:hAnsi="Times New Roman" w:eastAsia="宋体"/>
          <w:b w:val="0"/>
          <w:sz w:val="24"/>
        </w:rPr>
        <w:t>2. 具体推荐标准包括学业成绩、综合表现等，详见办法正文。</w:t>
      </w:r>
    </w:p>
    <w:p>
      <w:pPr>
        <w:spacing w:before="160" w:after="80" w:lineRule="auto" w:line="360"/>
        <w:jc w:val="left"/>
      </w:pPr>
      <w:r>
        <w:rPr>
          <w:rFonts w:ascii="Times New Roman" w:hAnsi="Times New Roman" w:eastAsia="宋体"/>
          <w:b/>
          <w:sz w:val="28"/>
        </w:rPr>
        <w:t>三、接收流程</w:t>
      </w:r>
    </w:p>
    <w:p>
      <w:pPr>
        <w:spacing w:after="80" w:lineRule="auto" w:line="360"/>
        <w:ind w:firstLine="482"/>
        <w:jc w:val="both"/>
      </w:pPr>
      <w:r>
        <w:rPr>
          <w:rFonts w:ascii="Times New Roman" w:hAnsi="Times New Roman" w:eastAsia="宋体"/>
          <w:b w:val="0"/>
          <w:sz w:val="24"/>
        </w:rPr>
        <w:t>1. 接收工作按照学校统一安排进行，申请者需在规定时间内提交相关材料。</w:t>
      </w:r>
    </w:p>
    <w:p>
      <w:pPr>
        <w:spacing w:after="80" w:lineRule="auto" w:line="360"/>
        <w:ind w:firstLine="482"/>
        <w:jc w:val="both"/>
      </w:pPr>
      <w:r>
        <w:rPr>
          <w:rFonts w:ascii="Times New Roman" w:hAnsi="Times New Roman" w:eastAsia="宋体"/>
          <w:b w:val="0"/>
          <w:sz w:val="24"/>
        </w:rPr>
        <w:t>2. 接收环节包括资格审核、复试考核等，具体流程以学校通知为准。</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本办法自发布之日起施行，由学校相关部门负责解释。</w:t>
      </w:r>
    </w:p>
    <w:p>
      <w:pPr>
        <w:spacing w:after="80" w:lineRule="auto" w:line="360"/>
        <w:ind w:firstLine="482"/>
        <w:jc w:val="both"/>
      </w:pPr>
      <w:r>
        <w:rPr>
          <w:rFonts w:ascii="Times New Roman" w:hAnsi="Times New Roman" w:eastAsia="宋体"/>
          <w:b w:val="0"/>
          <w:sz w:val="24"/>
        </w:rPr>
        <w:t>2. 联系方式及详细内容请参见学校官网或相关文件。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