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信息学院2026年接收推荐免试攻读硕士研究生工作办法</w:t>
      </w:r>
    </w:p>
    <w:p>
      <w:pPr>
        <w:spacing w:after="80" w:lineRule="auto" w:line="360"/>
        <w:ind w:firstLine="482"/>
        <w:jc w:val="both"/>
      </w:pPr>
      <w:r>
        <w:rPr>
          <w:rFonts w:ascii="Times New Roman" w:hAnsi="Times New Roman" w:eastAsia="宋体"/>
          <w:b w:val="0"/>
          <w:sz w:val="24"/>
        </w:rPr>
        <w:t>根据教育部、北京市和我校关于推免工作相关文件精神，为做好我院2026年接收优秀应届本科毕业生免试攻读硕士研究生（以下简称接收推免生）工作，确保公平公正，现就具体工作做如下安排。</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接收推免生相关工作在我校研究生招生工作领导小组和研究生院的统筹领导下开展，学院成立研究生招生复试工作领导小组，集体决议相关事宜；学院成立推免材料审核小组、研招复试工作小组，在学院研究生招生复试工作领导小组的领导下开展具体工作。</w:t>
      </w:r>
    </w:p>
    <w:p>
      <w:pPr>
        <w:spacing w:before="160" w:after="80" w:lineRule="auto" w:line="360"/>
        <w:jc w:val="left"/>
      </w:pPr>
      <w:r>
        <w:rPr>
          <w:rFonts w:ascii="Times New Roman" w:hAnsi="Times New Roman" w:eastAsia="宋体"/>
          <w:b/>
          <w:sz w:val="28"/>
        </w:rPr>
        <w:t>二、招生学科专业、计划数、本科专业要求</w:t>
      </w:r>
    </w:p>
    <w:p>
      <w:pPr>
        <w:spacing w:after="80" w:lineRule="auto" w:line="360"/>
        <w:ind w:firstLine="482"/>
        <w:jc w:val="both"/>
      </w:pPr>
      <w:r>
        <w:rPr>
          <w:rFonts w:ascii="Times New Roman" w:hAnsi="Times New Roman" w:eastAsia="宋体"/>
          <w:b w:val="0"/>
          <w:sz w:val="24"/>
        </w:rPr>
        <w:t>我院可接收应届毕业生报考的全日制学科专业，均可接收推免生，各学科专业接收推免生的本科专业范围要求如下：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研究生学科、专业代码</w:t>
            </w:r>
          </w:p>
        </w:tc>
        <w:tc>
          <w:tcPr>
            <w:tcW w:type="dxa" w:w="1439"/>
          </w:tcPr>
          <w:p>
            <w:pPr>
              <w:spacing w:after="20" w:before="20"/>
            </w:pPr>
            <w:r/>
            <w:r>
              <w:rPr>
                <w:rFonts w:ascii="Times New Roman" w:hAnsi="Times New Roman" w:eastAsia="宋体"/>
                <w:b/>
                <w:sz w:val="21"/>
              </w:rPr>
              <w:t>学位类型</w:t>
            </w:r>
          </w:p>
        </w:tc>
        <w:tc>
          <w:tcPr>
            <w:tcW w:type="dxa" w:w="1439"/>
          </w:tcPr>
          <w:p>
            <w:pPr>
              <w:spacing w:after="20" w:before="20"/>
            </w:pPr>
            <w:r/>
            <w:r>
              <w:rPr>
                <w:rFonts w:ascii="Times New Roman" w:hAnsi="Times New Roman" w:eastAsia="宋体"/>
                <w:b/>
                <w:sz w:val="21"/>
              </w:rPr>
              <w:t>学科、专业名称</w:t>
            </w:r>
          </w:p>
        </w:tc>
        <w:tc>
          <w:tcPr>
            <w:tcW w:type="dxa" w:w="1439"/>
          </w:tcPr>
          <w:p>
            <w:pPr>
              <w:spacing w:after="20" w:before="20"/>
            </w:pPr>
            <w:r/>
            <w:r>
              <w:rPr>
                <w:rFonts w:ascii="Times New Roman" w:hAnsi="Times New Roman" w:eastAsia="宋体"/>
                <w:b/>
                <w:sz w:val="21"/>
              </w:rPr>
              <w:t>接收推免生计划数</w:t>
            </w:r>
          </w:p>
        </w:tc>
        <w:tc>
          <w:tcPr>
            <w:tcW w:type="dxa" w:w="1439"/>
          </w:tcPr>
          <w:p>
            <w:pPr>
              <w:spacing w:after="20" w:before="20"/>
            </w:pPr>
            <w:r/>
            <w:r>
              <w:rPr>
                <w:rFonts w:ascii="Times New Roman" w:hAnsi="Times New Roman" w:eastAsia="宋体"/>
                <w:b/>
                <w:sz w:val="21"/>
              </w:rPr>
              <w:t>接收推免生本科专业范围</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081200</w:t>
            </w:r>
          </w:p>
        </w:tc>
        <w:tc>
          <w:tcPr>
            <w:tcW w:type="dxa" w:w="1439"/>
          </w:tcPr>
          <w:p>
            <w:pPr>
              <w:spacing w:after="20" w:before="20"/>
            </w:pPr>
            <w:r/>
            <w:r>
              <w:rPr>
                <w:rFonts w:ascii="Times New Roman" w:hAnsi="Times New Roman" w:eastAsia="宋体"/>
                <w:b w:val="0"/>
                <w:sz w:val="21"/>
              </w:rPr>
              <w:t>工学、学术型</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计算机类、电子信息类</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087100</w:t>
            </w:r>
          </w:p>
        </w:tc>
        <w:tc>
          <w:tcPr>
            <w:tcW w:type="dxa" w:w="1439"/>
          </w:tcPr>
          <w:p>
            <w:pPr>
              <w:spacing w:after="20" w:before="20"/>
            </w:pPr>
            <w:r/>
            <w:r>
              <w:rPr>
                <w:rFonts w:ascii="Times New Roman" w:hAnsi="Times New Roman" w:eastAsia="宋体"/>
                <w:b w:val="0"/>
                <w:sz w:val="21"/>
              </w:rPr>
              <w:t>工学、学术型</w:t>
            </w:r>
          </w:p>
        </w:tc>
        <w:tc>
          <w:tcPr>
            <w:tcW w:type="dxa" w:w="1439"/>
          </w:tcPr>
          <w:p>
            <w:pPr>
              <w:spacing w:after="20" w:before="20"/>
            </w:pPr>
            <w:r/>
            <w:r>
              <w:rPr>
                <w:rFonts w:ascii="Times New Roman" w:hAnsi="Times New Roman" w:eastAsia="宋体"/>
                <w:b w:val="0"/>
                <w:sz w:val="21"/>
              </w:rPr>
              <w:t>管理科学与工程（工）</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管理科学与工程类、计算机类、电子信息类</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085404</w:t>
            </w:r>
          </w:p>
        </w:tc>
        <w:tc>
          <w:tcPr>
            <w:tcW w:type="dxa" w:w="1439"/>
          </w:tcPr>
          <w:p>
            <w:pPr>
              <w:spacing w:after="20" w:before="20"/>
            </w:pPr>
            <w:r/>
            <w:r>
              <w:rPr>
                <w:rFonts w:ascii="Times New Roman" w:hAnsi="Times New Roman" w:eastAsia="宋体"/>
                <w:b w:val="0"/>
                <w:sz w:val="21"/>
              </w:rPr>
              <w:t>工学、专业型</w:t>
            </w:r>
          </w:p>
        </w:tc>
        <w:tc>
          <w:tcPr>
            <w:tcW w:type="dxa" w:w="1439"/>
          </w:tcPr>
          <w:p>
            <w:pPr>
              <w:spacing w:after="20" w:before="20"/>
            </w:pPr>
            <w:r/>
            <w:r>
              <w:rPr>
                <w:rFonts w:ascii="Times New Roman" w:hAnsi="Times New Roman" w:eastAsia="宋体"/>
                <w:b w:val="0"/>
                <w:sz w:val="21"/>
              </w:rPr>
              <w:t>电子信息 - 计算机技术</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计算机类、电子信息类</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085410</w:t>
            </w:r>
          </w:p>
        </w:tc>
        <w:tc>
          <w:tcPr>
            <w:tcW w:type="dxa" w:w="1439"/>
          </w:tcPr>
          <w:p>
            <w:pPr>
              <w:spacing w:after="20" w:before="20"/>
            </w:pPr>
            <w:r/>
            <w:r>
              <w:rPr>
                <w:rFonts w:ascii="Times New Roman" w:hAnsi="Times New Roman" w:eastAsia="宋体"/>
                <w:b w:val="0"/>
                <w:sz w:val="21"/>
              </w:rPr>
              <w:t>工学、专业型</w:t>
            </w:r>
          </w:p>
        </w:tc>
        <w:tc>
          <w:tcPr>
            <w:tcW w:type="dxa" w:w="1439"/>
          </w:tcPr>
          <w:p>
            <w:pPr>
              <w:spacing w:after="20" w:before="20"/>
            </w:pPr>
            <w:r/>
            <w:r>
              <w:rPr>
                <w:rFonts w:ascii="Times New Roman" w:hAnsi="Times New Roman" w:eastAsia="宋体"/>
                <w:b w:val="0"/>
                <w:sz w:val="21"/>
              </w:rPr>
              <w:t>电子信息 - 人工智能</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计算机类、电子信息类</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