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外国语学院2026年接收优秀应届本科毕业生推荐免试攻读全日制硕士研究生复试录取工作方案-华中师范大学外国语学院</w:t>
      </w:r>
    </w:p>
    <w:p>
      <w:pPr>
        <w:spacing w:after="80" w:lineRule="auto" w:line="360"/>
        <w:ind w:firstLine="482"/>
        <w:jc w:val="both"/>
      </w:pPr>
      <w:r>
        <w:rPr>
          <w:rFonts w:ascii="Times New Roman" w:hAnsi="Times New Roman" w:eastAsia="宋体"/>
          <w:b w:val="0"/>
          <w:sz w:val="24"/>
        </w:rPr>
        <w:t>根据教育部和学校有关文件精神，结合学院实际情况，特制定本院2026年接收优秀应届本科毕业生推荐免试攻读全日制研究生复试录取工作方案。</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一、组织机构及职责</w:t>
      </w:r>
    </w:p>
    <w:p>
      <w:pPr>
        <w:spacing w:after="80" w:lineRule="auto" w:line="360"/>
        <w:ind w:firstLine="482"/>
        <w:jc w:val="both"/>
      </w:pPr>
      <w:r>
        <w:rPr>
          <w:rFonts w:ascii="Times New Roman" w:hAnsi="Times New Roman" w:eastAsia="宋体"/>
          <w:b w:val="0"/>
          <w:sz w:val="24"/>
        </w:rPr>
        <w:t>根据相关管理规定和工作要求，学院成立招生工作领导小组、资格审查小组、复试小组、考务小组和成绩复核小组，确保2026年我院推免复试工作顺利进行。</w:t>
      </w:r>
    </w:p>
    <w:p>
      <w:pPr>
        <w:spacing w:before="160" w:after="80" w:lineRule="auto" w:line="360"/>
        <w:jc w:val="left"/>
      </w:pPr>
      <w:r>
        <w:rPr>
          <w:rFonts w:ascii="Times New Roman" w:hAnsi="Times New Roman" w:eastAsia="宋体"/>
          <w:b/>
          <w:sz w:val="28"/>
        </w:rPr>
        <w:t>二、接收条件</w:t>
      </w:r>
    </w:p>
    <w:p>
      <w:pPr>
        <w:spacing w:after="80" w:lineRule="auto" w:line="360"/>
        <w:ind w:firstLine="482"/>
        <w:jc w:val="both"/>
      </w:pPr>
      <w:r>
        <w:rPr>
          <w:rFonts w:ascii="Times New Roman" w:hAnsi="Times New Roman" w:eastAsia="宋体"/>
          <w:b w:val="0"/>
          <w:sz w:val="24"/>
        </w:rPr>
        <w:t>1. 中华人民共和国公民，拥护中国共产党的领导，品德良好，遵纪守法。</w:t>
      </w:r>
    </w:p>
    <w:p>
      <w:pPr>
        <w:spacing w:after="80" w:lineRule="auto" w:line="360"/>
        <w:ind w:firstLine="482"/>
        <w:jc w:val="both"/>
      </w:pPr>
      <w:r>
        <w:rPr>
          <w:rFonts w:ascii="Times New Roman" w:hAnsi="Times New Roman" w:eastAsia="宋体"/>
          <w:b w:val="0"/>
          <w:sz w:val="24"/>
        </w:rPr>
        <w:t>2. 获得就读学校推荐免试资格。推荐免试资格最终以教育部“全国推荐免试攻读研究生（免初试、转段）信息公开管理服务系统”（以下简称“推免服务系统”）信息为准。</w:t>
      </w:r>
    </w:p>
    <w:p>
      <w:pPr>
        <w:spacing w:after="80" w:lineRule="auto" w:line="360"/>
        <w:ind w:firstLine="482"/>
        <w:jc w:val="both"/>
      </w:pPr>
      <w:r>
        <w:rPr>
          <w:rFonts w:ascii="Times New Roman" w:hAnsi="Times New Roman" w:eastAsia="宋体"/>
          <w:b w:val="0"/>
          <w:sz w:val="24"/>
        </w:rPr>
        <w:t>3. 学习成绩优异，具有良好的外语听说读写能力，有较强的研究和创新能力，有较好的培养潜质。</w:t>
      </w:r>
    </w:p>
    <w:p>
      <w:pPr>
        <w:spacing w:after="80" w:lineRule="auto" w:line="360"/>
        <w:ind w:firstLine="482"/>
        <w:jc w:val="both"/>
      </w:pPr>
      <w:r>
        <w:rPr>
          <w:rFonts w:ascii="Times New Roman" w:hAnsi="Times New Roman" w:eastAsia="宋体"/>
          <w:b w:val="0"/>
          <w:sz w:val="24"/>
        </w:rPr>
        <w:t>4. 身心健康，符合国家和我校规定的体检标准。</w:t>
      </w:r>
    </w:p>
    <w:p>
      <w:pPr>
        <w:spacing w:before="160" w:after="80" w:lineRule="auto" w:line="360"/>
        <w:jc w:val="left"/>
      </w:pPr>
      <w:r>
        <w:rPr>
          <w:rFonts w:ascii="Times New Roman" w:hAnsi="Times New Roman" w:eastAsia="宋体"/>
          <w:b/>
          <w:sz w:val="28"/>
        </w:rPr>
        <w:t>三、接收专业及研究方向</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专业名称</w:t>
            </w:r>
          </w:p>
        </w:tc>
        <w:tc>
          <w:tcPr>
            <w:tcW w:type="dxa" w:w="4317"/>
          </w:tcPr>
          <w:p>
            <w:pPr>
              <w:spacing w:after="20" w:before="20"/>
            </w:pPr>
            <w:r/>
            <w:r>
              <w:rPr>
                <w:rFonts w:ascii="Times New Roman" w:hAnsi="Times New Roman" w:eastAsia="宋体"/>
                <w:b/>
                <w:sz w:val="21"/>
              </w:rPr>
              <w:t>研究方向</w:t>
            </w:r>
          </w:p>
        </w:tc>
      </w:tr>
      <w:tr>
        <w:tc>
          <w:tcPr>
            <w:tcW w:type="dxa" w:w="4317"/>
          </w:tcPr>
          <w:p>
            <w:pPr>
              <w:spacing w:after="20" w:before="20"/>
            </w:pPr>
            <w:r/>
            <w:r>
              <w:rPr>
                <w:rFonts w:ascii="Times New Roman" w:hAnsi="Times New Roman" w:eastAsia="宋体"/>
                <w:b w:val="0"/>
                <w:sz w:val="21"/>
              </w:rPr>
              <w:t>外国语言文学</w:t>
            </w:r>
          </w:p>
        </w:tc>
        <w:tc>
          <w:tcPr>
            <w:tcW w:type="dxa" w:w="4317"/>
          </w:tcPr>
          <w:p>
            <w:pPr>
              <w:spacing w:after="20" w:before="20"/>
            </w:pPr>
            <w:r/>
            <w:r>
              <w:rPr>
                <w:rFonts w:ascii="Times New Roman" w:hAnsi="Times New Roman" w:eastAsia="宋体"/>
                <w:b w:val="0"/>
                <w:sz w:val="21"/>
              </w:rPr>
              <w:t>外国文学（英语类）</w:t>
            </w:r>
          </w:p>
        </w:tc>
      </w:tr>
      <w:tr>
        <w:tc>
          <w:tcPr>
            <w:tcW w:type="dxa" w:w="4317"/>
          </w:tcPr>
          <w:p>
            <w:pPr>
              <w:spacing w:after="20" w:before="20"/>
            </w:pPr>
            <w:r/>
            <w:r>
              <w:rPr>
                <w:rFonts w:ascii="Times New Roman" w:hAnsi="Times New Roman" w:eastAsia="宋体"/>
                <w:b w:val="0"/>
                <w:sz w:val="21"/>
              </w:rPr>
              <w:t>外国语言文学</w:t>
            </w:r>
          </w:p>
        </w:tc>
        <w:tc>
          <w:tcPr>
            <w:tcW w:type="dxa" w:w="4317"/>
          </w:tcPr>
          <w:p>
            <w:pPr>
              <w:spacing w:after="20" w:before="20"/>
            </w:pPr>
            <w:r/>
            <w:r>
              <w:rPr>
                <w:rFonts w:ascii="Times New Roman" w:hAnsi="Times New Roman" w:eastAsia="宋体"/>
                <w:b w:val="0"/>
                <w:sz w:val="21"/>
              </w:rPr>
              <w:t>外国文学（日语类）</w:t>
            </w:r>
          </w:p>
        </w:tc>
      </w:tr>
      <w:tr>
        <w:tc>
          <w:tcPr>
            <w:tcW w:type="dxa" w:w="4317"/>
          </w:tcPr>
          <w:p>
            <w:pPr>
              <w:spacing w:after="20" w:before="20"/>
            </w:pPr>
            <w:r/>
            <w:r>
              <w:rPr>
                <w:rFonts w:ascii="Times New Roman" w:hAnsi="Times New Roman" w:eastAsia="宋体"/>
                <w:b w:val="0"/>
                <w:sz w:val="21"/>
              </w:rPr>
              <w:t>外国语言文学</w:t>
            </w:r>
          </w:p>
        </w:tc>
        <w:tc>
          <w:tcPr>
            <w:tcW w:type="dxa" w:w="4317"/>
          </w:tcPr>
          <w:p>
            <w:pPr>
              <w:spacing w:after="20" w:before="20"/>
            </w:pPr>
            <w:r/>
            <w:r>
              <w:rPr>
                <w:rFonts w:ascii="Times New Roman" w:hAnsi="Times New Roman" w:eastAsia="宋体"/>
                <w:b w:val="0"/>
                <w:sz w:val="21"/>
              </w:rPr>
              <w:t>外国文学（法语类）</w:t>
            </w:r>
          </w:p>
        </w:tc>
      </w:tr>
      <w:tr>
        <w:tc>
          <w:tcPr>
            <w:tcW w:type="dxa" w:w="4317"/>
          </w:tcPr>
          <w:p>
            <w:pPr>
              <w:spacing w:after="20" w:before="20"/>
            </w:pPr>
            <w:r/>
            <w:r>
              <w:rPr>
                <w:rFonts w:ascii="Times New Roman" w:hAnsi="Times New Roman" w:eastAsia="宋体"/>
                <w:b w:val="0"/>
                <w:sz w:val="21"/>
              </w:rPr>
              <w:t>外国语言文学</w:t>
            </w:r>
          </w:p>
        </w:tc>
        <w:tc>
          <w:tcPr>
            <w:tcW w:type="dxa" w:w="4317"/>
          </w:tcPr>
          <w:p>
            <w:pPr>
              <w:spacing w:after="20" w:before="20"/>
            </w:pPr>
            <w:r/>
            <w:r>
              <w:rPr>
                <w:rFonts w:ascii="Times New Roman" w:hAnsi="Times New Roman" w:eastAsia="宋体"/>
                <w:b w:val="0"/>
                <w:sz w:val="21"/>
              </w:rPr>
              <w:t>外国语言学（英语类）</w:t>
            </w:r>
          </w:p>
        </w:tc>
      </w:tr>
      <w:tr>
        <w:tc>
          <w:tcPr>
            <w:tcW w:type="dxa" w:w="4317"/>
          </w:tcPr>
          <w:p>
            <w:pPr>
              <w:spacing w:after="20" w:before="20"/>
            </w:pPr>
            <w:r/>
            <w:r>
              <w:rPr>
                <w:rFonts w:ascii="Times New Roman" w:hAnsi="Times New Roman" w:eastAsia="宋体"/>
                <w:b w:val="0"/>
                <w:sz w:val="21"/>
              </w:rPr>
              <w:t>外国语言文学</w:t>
            </w:r>
          </w:p>
        </w:tc>
        <w:tc>
          <w:tcPr>
            <w:tcW w:type="dxa" w:w="4317"/>
          </w:tcPr>
          <w:p>
            <w:pPr>
              <w:spacing w:after="20" w:before="20"/>
            </w:pPr>
            <w:r/>
            <w:r>
              <w:rPr>
                <w:rFonts w:ascii="Times New Roman" w:hAnsi="Times New Roman" w:eastAsia="宋体"/>
                <w:b w:val="0"/>
                <w:sz w:val="21"/>
              </w:rPr>
              <w:t>外国语言学（俄语类）</w:t>
            </w:r>
          </w:p>
        </w:tc>
      </w:tr>
      <w:tr>
        <w:tc>
          <w:tcPr>
            <w:tcW w:type="dxa" w:w="4317"/>
          </w:tcPr>
          <w:p>
            <w:pPr>
              <w:spacing w:after="20" w:before="20"/>
            </w:pPr>
            <w:r/>
            <w:r>
              <w:rPr>
                <w:rFonts w:ascii="Times New Roman" w:hAnsi="Times New Roman" w:eastAsia="宋体"/>
                <w:b w:val="0"/>
                <w:sz w:val="21"/>
              </w:rPr>
              <w:t>外国语言文学</w:t>
            </w:r>
          </w:p>
        </w:tc>
        <w:tc>
          <w:tcPr>
            <w:tcW w:type="dxa" w:w="4317"/>
          </w:tcPr>
          <w:p>
            <w:pPr>
              <w:spacing w:after="20" w:before="20"/>
            </w:pPr>
            <w:r/>
            <w:r>
              <w:rPr>
                <w:rFonts w:ascii="Times New Roman" w:hAnsi="Times New Roman" w:eastAsia="宋体"/>
                <w:b w:val="0"/>
                <w:sz w:val="21"/>
              </w:rPr>
              <w:t>翻译与传播（英语类）</w:t>
            </w:r>
          </w:p>
        </w:tc>
      </w:tr>
      <w:tr>
        <w:tc>
          <w:tcPr>
            <w:tcW w:type="dxa" w:w="4317"/>
          </w:tcPr>
          <w:p>
            <w:pPr>
              <w:spacing w:after="20" w:before="20"/>
            </w:pPr>
            <w:r/>
            <w:r>
              <w:rPr>
                <w:rFonts w:ascii="Times New Roman" w:hAnsi="Times New Roman" w:eastAsia="宋体"/>
                <w:b w:val="0"/>
                <w:sz w:val="21"/>
              </w:rPr>
              <w:t>外国语言文学</w:t>
            </w:r>
          </w:p>
        </w:tc>
        <w:tc>
          <w:tcPr>
            <w:tcW w:type="dxa" w:w="4317"/>
          </w:tcPr>
          <w:p>
            <w:pPr>
              <w:spacing w:after="20" w:before="20"/>
            </w:pPr>
            <w:r/>
            <w:r>
              <w:rPr>
                <w:rFonts w:ascii="Times New Roman" w:hAnsi="Times New Roman" w:eastAsia="宋体"/>
                <w:b w:val="0"/>
                <w:sz w:val="21"/>
              </w:rPr>
              <w:t>外语教育研究（英语类）</w:t>
            </w:r>
          </w:p>
        </w:tc>
      </w:tr>
      <w:tr>
        <w:tc>
          <w:tcPr>
            <w:tcW w:type="dxa" w:w="4317"/>
          </w:tcPr>
          <w:p>
            <w:pPr>
              <w:spacing w:after="20" w:before="20"/>
            </w:pPr>
            <w:r/>
            <w:r>
              <w:rPr>
                <w:rFonts w:ascii="Times New Roman" w:hAnsi="Times New Roman" w:eastAsia="宋体"/>
                <w:b w:val="0"/>
                <w:sz w:val="21"/>
              </w:rPr>
              <w:t>外国语言文学</w:t>
            </w:r>
          </w:p>
        </w:tc>
        <w:tc>
          <w:tcPr>
            <w:tcW w:type="dxa" w:w="4317"/>
          </w:tcPr>
          <w:p>
            <w:pPr>
              <w:spacing w:after="20" w:before="20"/>
            </w:pPr>
            <w:r/>
            <w:r>
              <w:rPr>
                <w:rFonts w:ascii="Times New Roman" w:hAnsi="Times New Roman" w:eastAsia="宋体"/>
                <w:b w:val="0"/>
                <w:sz w:val="21"/>
              </w:rPr>
              <w:t>外国文学（西班牙语类）</w:t>
            </w:r>
          </w:p>
        </w:tc>
      </w:tr>
      <w:tr>
        <w:tc>
          <w:tcPr>
            <w:tcW w:type="dxa" w:w="4317"/>
          </w:tcPr>
          <w:p>
            <w:pPr>
              <w:spacing w:after="20" w:before="20"/>
            </w:pPr>
            <w:r/>
            <w:r>
              <w:rPr>
                <w:rFonts w:ascii="Times New Roman" w:hAnsi="Times New Roman" w:eastAsia="宋体"/>
                <w:b w:val="0"/>
                <w:sz w:val="21"/>
              </w:rPr>
              <w:t>学科教学（英语）</w:t>
            </w:r>
          </w:p>
        </w:tc>
        <w:tc>
          <w:tcPr>
            <w:tcW w:type="dxa" w:w="4317"/>
          </w:tcPr>
          <w:p>
            <w:pPr>
              <w:spacing w:after="20" w:before="20"/>
            </w:pPr>
            <w:r/>
            <w:r>
              <w:rPr>
                <w:rFonts w:ascii="Times New Roman" w:hAnsi="Times New Roman" w:eastAsia="宋体"/>
                <w:b w:val="0"/>
                <w:sz w:val="21"/>
              </w:rPr>
              <w:t>不区分研究方向</w:t>
            </w:r>
          </w:p>
        </w:tc>
      </w:tr>
      <w:tr>
        <w:tc>
          <w:tcPr>
            <w:tcW w:type="dxa" w:w="4317"/>
          </w:tcPr>
          <w:p>
            <w:pPr>
              <w:spacing w:after="20" w:before="20"/>
            </w:pPr>
            <w:r/>
            <w:r>
              <w:rPr>
                <w:rFonts w:ascii="Times New Roman" w:hAnsi="Times New Roman" w:eastAsia="宋体"/>
                <w:b w:val="0"/>
                <w:sz w:val="21"/>
              </w:rPr>
              <w:t>翻译</w:t>
            </w:r>
          </w:p>
        </w:tc>
        <w:tc>
          <w:tcPr>
            <w:tcW w:type="dxa" w:w="4317"/>
          </w:tcPr>
          <w:p>
            <w:pPr>
              <w:spacing w:after="20" w:before="20"/>
            </w:pPr>
            <w:r/>
            <w:r>
              <w:rPr>
                <w:rFonts w:ascii="Times New Roman" w:hAnsi="Times New Roman" w:eastAsia="宋体"/>
                <w:b w:val="0"/>
                <w:sz w:val="21"/>
              </w:rPr>
              <w:t>英语翻译</w:t>
            </w:r>
          </w:p>
        </w:tc>
      </w:tr>
      <w:tr>
        <w:tc>
          <w:tcPr>
            <w:tcW w:type="dxa" w:w="4317"/>
          </w:tcPr>
          <w:p>
            <w:pPr>
              <w:spacing w:after="20" w:before="20"/>
            </w:pPr>
            <w:r/>
            <w:r>
              <w:rPr>
                <w:rFonts w:ascii="Times New Roman" w:hAnsi="Times New Roman" w:eastAsia="宋体"/>
                <w:b w:val="0"/>
                <w:sz w:val="21"/>
              </w:rPr>
              <w:t>翻译</w:t>
            </w:r>
          </w:p>
        </w:tc>
        <w:tc>
          <w:tcPr>
            <w:tcW w:type="dxa" w:w="4317"/>
          </w:tcPr>
          <w:p>
            <w:pPr>
              <w:spacing w:after="20" w:before="20"/>
            </w:pPr>
            <w:r/>
            <w:r>
              <w:rPr>
                <w:rFonts w:ascii="Times New Roman" w:hAnsi="Times New Roman" w:eastAsia="宋体"/>
                <w:b w:val="0"/>
                <w:sz w:val="21"/>
              </w:rPr>
              <w:t>日语翻译</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