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9B666">
      <w:pPr>
        <w:spacing w:before="240" w:line="360" w:lineRule="auto" w:after="160"/>
        <w:ind w:left="71" w:firstLine="0"/>
        <w:jc w:val="center"/>
        <w:rPr>
          <w:rFonts w:ascii="Times New Roman" w:hAnsi="Times New Roman" w:eastAsia="Times New Roman" w:cs="Times New Roman"/>
          <w:spacing w:val="-6"/>
          <w:sz w:val="31"/>
          <w:szCs w:val="31"/>
        </w:rPr>
      </w:pPr>
      <w:bookmarkStart w:id="0" w:name="_GoBack"/>
      <w:r>
        <w:rPr>
          <w:rFonts w:ascii="Times New Roman" w:hAnsi="Times New Roman" w:eastAsia="宋体" w:cs="黑体"/>
          <w:b/>
          <w:spacing w:val="-6"/>
          <w:sz w:val="32"/>
          <w:szCs w:val="31"/>
        </w:rPr>
        <w:t>附件</w:t>
      </w:r>
      <w:r>
        <w:rPr>
          <w:rFonts w:ascii="Times New Roman" w:hAnsi="Times New Roman" w:eastAsia="宋体" w:cs="Times New Roman"/>
          <w:b/>
          <w:spacing w:val="-6"/>
          <w:sz w:val="32"/>
          <w:szCs w:val="31"/>
        </w:rPr>
        <w:t>1</w:t>
      </w:r>
    </w:p>
    <w:p w14:paraId="620B289C">
      <w:pPr>
        <w:spacing w:before="0" w:line="360" w:lineRule="auto" w:after="80"/>
        <w:ind w:left="71" w:firstLine="482"/>
        <w:jc w:val="both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Times New Roman" w:hAnsi="Times New Roman" w:eastAsia="宋体" w:cs="微软雅黑"/>
          <w:b w:val="0"/>
          <w:spacing w:val="18"/>
          <w:sz w:val="24"/>
          <w:szCs w:val="35"/>
        </w:rPr>
        <w:t>河北北方学院推荐优秀应届本科毕业生免试攻读</w:t>
      </w:r>
      <w:r>
        <w:rPr>
          <w:rFonts w:ascii="Times New Roman" w:hAnsi="Times New Roman" w:eastAsia="宋体" w:cs="微软雅黑"/>
          <w:b w:val="0"/>
          <w:spacing w:val="17"/>
          <w:sz w:val="24"/>
          <w:szCs w:val="35"/>
        </w:rPr>
        <w:t>研究生综合素质奖励加分计算办法</w:t>
      </w:r>
    </w:p>
    <w:bookmarkEnd w:id="0"/>
    <w:p w14:paraId="0C5C1309">
      <w:pPr>
        <w:spacing w:line="15" w:lineRule="exact"/>
      </w:pPr>
    </w:p>
    <w:tbl>
      <w:tblPr>
        <w:tblStyle w:val="4"/>
        <w:tblW w:w="97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2764"/>
        <w:gridCol w:w="1683"/>
        <w:gridCol w:w="2568"/>
        <w:gridCol w:w="1421"/>
      </w:tblGrid>
      <w:tr w14:paraId="354C2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343" w:type="dxa"/>
          </w:tcPr>
          <w:p w14:paraId="247FD362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6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bCs/>
                <w:snapToGrid w:val="0"/>
                <w:color w:val="000000"/>
                <w:spacing w:val="-12"/>
                <w:kern w:val="0"/>
                <w:sz w:val="21"/>
                <w:szCs w:val="24"/>
                <w:lang w:val="en-US" w:eastAsia="en-US" w:bidi="ar-SA"/>
              </w:rPr>
              <w:t>类别</w:t>
            </w:r>
          </w:p>
        </w:tc>
        <w:tc>
          <w:tcPr>
            <w:tcW w:w="2764" w:type="dxa"/>
          </w:tcPr>
          <w:p w14:paraId="32F13603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64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bCs/>
                <w:snapToGrid w:val="0"/>
                <w:color w:val="000000"/>
                <w:spacing w:val="-11"/>
                <w:kern w:val="0"/>
                <w:sz w:val="21"/>
                <w:szCs w:val="24"/>
                <w:lang w:val="en-US" w:eastAsia="en-US" w:bidi="ar-SA"/>
              </w:rPr>
              <w:t>项目</w:t>
            </w:r>
          </w:p>
        </w:tc>
        <w:tc>
          <w:tcPr>
            <w:tcW w:w="1683" w:type="dxa"/>
          </w:tcPr>
          <w:p w14:paraId="587F1867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2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bCs/>
                <w:snapToGrid w:val="0"/>
                <w:color w:val="000000"/>
                <w:spacing w:val="-12"/>
                <w:kern w:val="0"/>
                <w:sz w:val="21"/>
                <w:szCs w:val="24"/>
                <w:lang w:val="en-US" w:eastAsia="en-US" w:bidi="ar-SA"/>
              </w:rPr>
              <w:t>级别</w:t>
            </w:r>
          </w:p>
        </w:tc>
        <w:tc>
          <w:tcPr>
            <w:tcW w:w="2568" w:type="dxa"/>
          </w:tcPr>
          <w:p w14:paraId="1C3CEC7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90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bCs/>
                <w:snapToGrid w:val="0"/>
                <w:color w:val="000000"/>
                <w:spacing w:val="-11"/>
                <w:kern w:val="0"/>
                <w:sz w:val="21"/>
                <w:szCs w:val="24"/>
                <w:lang w:val="en-US" w:eastAsia="en-US" w:bidi="ar-SA"/>
              </w:rPr>
              <w:t>加分</w:t>
            </w:r>
          </w:p>
        </w:tc>
        <w:tc>
          <w:tcPr>
            <w:tcW w:w="1421" w:type="dxa"/>
          </w:tcPr>
          <w:p w14:paraId="78BF83EB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1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bCs/>
                <w:snapToGrid w:val="0"/>
                <w:color w:val="000000"/>
                <w:spacing w:val="-12"/>
                <w:kern w:val="0"/>
                <w:sz w:val="21"/>
                <w:szCs w:val="24"/>
                <w:lang w:val="en-US" w:eastAsia="en-US" w:bidi="ar-SA"/>
              </w:rPr>
              <w:t>备注</w:t>
            </w:r>
          </w:p>
        </w:tc>
      </w:tr>
      <w:tr w14:paraId="3769EE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3DCD531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4F99474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45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参军入伍服</w:t>
            </w:r>
          </w:p>
          <w:p w14:paraId="7DFC989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6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"/>
                <w:kern w:val="0"/>
                <w:sz w:val="21"/>
                <w:szCs w:val="22"/>
                <w:lang w:val="en-US" w:eastAsia="en-US" w:bidi="ar-SA"/>
              </w:rPr>
              <w:t>兵役</w:t>
            </w:r>
          </w:p>
        </w:tc>
        <w:tc>
          <w:tcPr>
            <w:tcW w:w="2764" w:type="dxa"/>
          </w:tcPr>
          <w:p w14:paraId="3073D900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82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参军入伍服兵役</w:t>
            </w:r>
          </w:p>
        </w:tc>
        <w:tc>
          <w:tcPr>
            <w:tcW w:w="1683" w:type="dxa"/>
          </w:tcPr>
          <w:p w14:paraId="694D0C96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5D0D5685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905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10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  <w:vMerge w:val="restart"/>
            <w:tcBorders>
              <w:bottom w:val="nil"/>
            </w:tcBorders>
          </w:tcPr>
          <w:p w14:paraId="719155C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09FB3E6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30" w:right="10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需在保留学籍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期间服兵役</w:t>
            </w:r>
          </w:p>
        </w:tc>
      </w:tr>
      <w:tr w14:paraId="1E0E78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136482BF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43AED582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35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"/>
                <w:kern w:val="0"/>
                <w:sz w:val="21"/>
                <w:szCs w:val="22"/>
                <w:lang w:val="en-US" w:eastAsia="en-US" w:bidi="ar-SA"/>
              </w:rPr>
              <w:t>服兵役期间荣立二等功</w:t>
            </w:r>
          </w:p>
        </w:tc>
        <w:tc>
          <w:tcPr>
            <w:tcW w:w="1683" w:type="dxa"/>
          </w:tcPr>
          <w:p w14:paraId="5C40D13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2AABD447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870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3"/>
                <w:kern w:val="0"/>
                <w:sz w:val="21"/>
                <w:szCs w:val="22"/>
                <w:lang w:val="en-US" w:eastAsia="en-US" w:bidi="ar-SA"/>
              </w:rPr>
              <w:t>20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  <w:vMerge w:val="continue"/>
            <w:tcBorders>
              <w:top w:val="nil"/>
            </w:tcBorders>
          </w:tcPr>
          <w:p w14:paraId="72922340">
            <w:pPr>
              <w:rPr>
                <w:rFonts w:ascii="Arial"/>
                <w:sz w:val="21"/>
              </w:rPr>
            </w:pPr>
          </w:p>
        </w:tc>
      </w:tr>
      <w:tr w14:paraId="64900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23A038D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0C762036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3BB2A8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CBA874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7433D6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790A006E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4754F89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5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22"/>
                <w:lang w:val="en-US" w:eastAsia="en-US" w:bidi="ar-SA"/>
              </w:rPr>
              <w:t>科研成果</w:t>
            </w:r>
          </w:p>
        </w:tc>
        <w:tc>
          <w:tcPr>
            <w:tcW w:w="2764" w:type="dxa"/>
          </w:tcPr>
          <w:p w14:paraId="6E1BC8E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4D19C63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749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公开发表论文</w:t>
            </w:r>
          </w:p>
        </w:tc>
        <w:tc>
          <w:tcPr>
            <w:tcW w:w="1683" w:type="dxa"/>
          </w:tcPr>
          <w:p w14:paraId="25B8348B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AF05451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3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见说明</w:t>
            </w:r>
          </w:p>
        </w:tc>
        <w:tc>
          <w:tcPr>
            <w:tcW w:w="2568" w:type="dxa"/>
          </w:tcPr>
          <w:p w14:paraId="5108B9FC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878" w:right="40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独立作者或第一作者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6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4-25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483FD7B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34219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4DC46DFC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6FABD653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0281CCA2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975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0"/>
                <w:kern w:val="0"/>
                <w:sz w:val="21"/>
                <w:szCs w:val="22"/>
                <w:lang w:val="en-US" w:eastAsia="en-US" w:bidi="ar-SA"/>
              </w:rPr>
              <w:t>学术专著</w:t>
            </w:r>
          </w:p>
        </w:tc>
        <w:tc>
          <w:tcPr>
            <w:tcW w:w="1683" w:type="dxa"/>
          </w:tcPr>
          <w:p w14:paraId="43DFD74D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5D075D70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1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"/>
                <w:kern w:val="0"/>
                <w:sz w:val="21"/>
                <w:szCs w:val="22"/>
                <w:lang w:val="en-US" w:eastAsia="en-US" w:bidi="ar-SA"/>
              </w:rPr>
              <w:t>独立作者或第一作者</w:t>
            </w:r>
          </w:p>
          <w:p w14:paraId="6EA02F4A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029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7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1F09EE6C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90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3"/>
                <w:kern w:val="0"/>
                <w:sz w:val="21"/>
                <w:szCs w:val="22"/>
                <w:lang w:val="en-US" w:eastAsia="en-US" w:bidi="ar-SA"/>
              </w:rPr>
              <w:t>国家级出版</w:t>
            </w:r>
          </w:p>
          <w:p w14:paraId="40F247D0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8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22"/>
                <w:lang w:val="en-US" w:eastAsia="en-US" w:bidi="ar-SA"/>
              </w:rPr>
              <w:t>社</w:t>
            </w:r>
          </w:p>
        </w:tc>
      </w:tr>
      <w:tr w14:paraId="6E502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4AAF1388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04BC91CE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97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"/>
                <w:kern w:val="0"/>
                <w:sz w:val="21"/>
                <w:szCs w:val="22"/>
                <w:lang w:val="en-US" w:eastAsia="en-US" w:bidi="ar-SA"/>
              </w:rPr>
              <w:t>发明专利</w:t>
            </w:r>
          </w:p>
        </w:tc>
        <w:tc>
          <w:tcPr>
            <w:tcW w:w="1683" w:type="dxa"/>
          </w:tcPr>
          <w:p w14:paraId="3C1E7D2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  <w:tc>
          <w:tcPr>
            <w:tcW w:w="2568" w:type="dxa"/>
          </w:tcPr>
          <w:p w14:paraId="3605AF8F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8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第一发明人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10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6E556E70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303483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58F20A52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337495B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0F68926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8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大学生创新创业训练</w:t>
            </w:r>
          </w:p>
          <w:p w14:paraId="040D029A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323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计划项目</w:t>
            </w:r>
          </w:p>
        </w:tc>
        <w:tc>
          <w:tcPr>
            <w:tcW w:w="1683" w:type="dxa"/>
          </w:tcPr>
          <w:p w14:paraId="638D04A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6EB82B3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35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国家级结题合格</w:t>
            </w:r>
          </w:p>
        </w:tc>
        <w:tc>
          <w:tcPr>
            <w:tcW w:w="2568" w:type="dxa"/>
          </w:tcPr>
          <w:p w14:paraId="7BB9D332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353154A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5A90101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710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3"/>
                <w:kern w:val="0"/>
                <w:sz w:val="21"/>
                <w:szCs w:val="22"/>
                <w:lang w:val="en-US" w:eastAsia="en-US" w:bidi="ar-SA"/>
              </w:rPr>
              <w:t>项目负责人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3"/>
                <w:kern w:val="0"/>
                <w:sz w:val="21"/>
                <w:szCs w:val="22"/>
                <w:lang w:val="en-US" w:eastAsia="en-US" w:bidi="ar-SA"/>
              </w:rPr>
              <w:t>3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3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5109E7E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7E51A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63E82FB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670E386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9A4DA78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6E27E3B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FBBED3D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F0733B0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C5F0195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49A47B2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EA7E7B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0C9AB951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6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"/>
                <w:kern w:val="0"/>
                <w:sz w:val="21"/>
                <w:szCs w:val="22"/>
                <w:lang w:val="en-US" w:eastAsia="en-US" w:bidi="ar-SA"/>
              </w:rPr>
              <w:t>竞赛获奖</w:t>
            </w:r>
          </w:p>
        </w:tc>
        <w:tc>
          <w:tcPr>
            <w:tcW w:w="2764" w:type="dxa"/>
          </w:tcPr>
          <w:p w14:paraId="4A779531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firstLine="0"/>
              <w:jc w:val="righ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0"/>
                <w:kern w:val="0"/>
                <w:sz w:val="21"/>
                <w:szCs w:val="22"/>
                <w:lang w:val="en-US" w:eastAsia="en-US" w:bidi="ar-SA"/>
              </w:rPr>
              <w:t>中国国际大学生创新大赛、</w:t>
            </w:r>
          </w:p>
          <w:p w14:paraId="55CA5CC5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68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“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挑战杯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”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大学生课外学术科</w:t>
            </w:r>
          </w:p>
          <w:p w14:paraId="22742CA8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4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2"/>
                <w:kern w:val="0"/>
                <w:sz w:val="21"/>
                <w:szCs w:val="22"/>
                <w:lang w:val="en-US" w:eastAsia="en-US" w:bidi="ar-SA"/>
              </w:rPr>
              <w:t>技作品竞赛、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12"/>
                <w:kern w:val="0"/>
                <w:sz w:val="21"/>
                <w:szCs w:val="22"/>
                <w:lang w:val="en-US" w:eastAsia="en-US" w:bidi="ar-SA"/>
              </w:rPr>
              <w:t>“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2"/>
                <w:kern w:val="0"/>
                <w:sz w:val="21"/>
                <w:szCs w:val="22"/>
                <w:lang w:val="en-US" w:eastAsia="en-US" w:bidi="ar-SA"/>
              </w:rPr>
              <w:t>挑战杯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12"/>
                <w:kern w:val="0"/>
                <w:sz w:val="21"/>
                <w:szCs w:val="22"/>
                <w:lang w:val="en-US" w:eastAsia="en-US" w:bidi="ar-SA"/>
              </w:rPr>
              <w:t>”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2"/>
                <w:kern w:val="0"/>
                <w:sz w:val="21"/>
                <w:szCs w:val="22"/>
                <w:lang w:val="en-US" w:eastAsia="en-US" w:bidi="ar-SA"/>
              </w:rPr>
              <w:t>大学</w:t>
            </w:r>
          </w:p>
          <w:p w14:paraId="5897A40C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73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生创业计划竞赛</w:t>
            </w:r>
          </w:p>
        </w:tc>
        <w:tc>
          <w:tcPr>
            <w:tcW w:w="1683" w:type="dxa"/>
          </w:tcPr>
          <w:p w14:paraId="00CDBA1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CCECC5B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101E43C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7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9"/>
                <w:kern w:val="0"/>
                <w:sz w:val="21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2506F51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12785A0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8038A90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34" w:right="15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一等奖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20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分、二等奖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15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分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、三等奖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10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242A22C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536740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111BF149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15F0196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26CAFFD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2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专业技能竞赛获奖</w:t>
            </w:r>
          </w:p>
        </w:tc>
        <w:tc>
          <w:tcPr>
            <w:tcW w:w="1683" w:type="dxa"/>
          </w:tcPr>
          <w:p w14:paraId="083DD339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2B111020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7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9"/>
                <w:kern w:val="0"/>
                <w:sz w:val="21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6389856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63" w:right="120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一等奖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20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分、二等奖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15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分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、三等奖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10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1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3CEDC4EC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3C4905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343" w:type="dxa"/>
            <w:vMerge w:val="continue"/>
            <w:tcBorders>
              <w:top w:val="nil"/>
              <w:bottom w:val="nil"/>
            </w:tcBorders>
          </w:tcPr>
          <w:p w14:paraId="044A05A6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22029C5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58EE0E5E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26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创新创业竞赛获奖</w:t>
            </w:r>
          </w:p>
        </w:tc>
        <w:tc>
          <w:tcPr>
            <w:tcW w:w="1683" w:type="dxa"/>
          </w:tcPr>
          <w:p w14:paraId="723E22A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05C71564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7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9"/>
                <w:kern w:val="0"/>
                <w:sz w:val="21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412FB31C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15" w:right="99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特等奖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8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分，一等奖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6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分，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5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二等奖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4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分，三等奖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2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5A83AF6D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672E5C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3454C4E4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</w:tcPr>
          <w:p w14:paraId="5D3AF744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146" w:right="189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"/>
                <w:kern w:val="0"/>
                <w:sz w:val="21"/>
                <w:szCs w:val="22"/>
                <w:lang w:val="en-US" w:eastAsia="en-US" w:bidi="ar-SA"/>
              </w:rPr>
              <w:t>文化、艺术、英语、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5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9"/>
                <w:kern w:val="0"/>
                <w:sz w:val="21"/>
                <w:szCs w:val="22"/>
                <w:lang w:val="en-US" w:eastAsia="en-US" w:bidi="ar-SA"/>
              </w:rPr>
              <w:t>体育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2"/>
                <w:kern w:val="0"/>
                <w:sz w:val="21"/>
                <w:szCs w:val="22"/>
                <w:lang w:val="en-US" w:eastAsia="en-US" w:bidi="ar-SA"/>
              </w:rPr>
              <w:t>比赛获奖</w:t>
            </w:r>
          </w:p>
        </w:tc>
        <w:tc>
          <w:tcPr>
            <w:tcW w:w="1683" w:type="dxa"/>
          </w:tcPr>
          <w:p w14:paraId="0BF5FF24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4F51920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7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9"/>
                <w:kern w:val="0"/>
                <w:sz w:val="21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7C939AB3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219" w:right="10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特等奖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6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分，一等奖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5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5"/>
                <w:kern w:val="0"/>
                <w:sz w:val="21"/>
                <w:szCs w:val="22"/>
                <w:lang w:val="en-US" w:eastAsia="en-US" w:bidi="ar-SA"/>
              </w:rPr>
              <w:t>分，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kern w:val="0"/>
                <w:sz w:val="21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二等奖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3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分，三等奖</w:t>
            </w: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2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4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66ADBE1D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20A2B8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343" w:type="dxa"/>
            <w:vMerge w:val="restart"/>
            <w:tcBorders>
              <w:bottom w:val="nil"/>
            </w:tcBorders>
          </w:tcPr>
          <w:p w14:paraId="06A010A1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6D734AA9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470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7"/>
                <w:kern w:val="0"/>
                <w:sz w:val="21"/>
                <w:szCs w:val="22"/>
                <w:lang w:val="en-US" w:eastAsia="en-US" w:bidi="ar-SA"/>
              </w:rPr>
              <w:t>荣誉</w:t>
            </w:r>
          </w:p>
        </w:tc>
        <w:tc>
          <w:tcPr>
            <w:tcW w:w="2764" w:type="dxa"/>
            <w:vMerge w:val="restart"/>
            <w:tcBorders>
              <w:bottom w:val="nil"/>
            </w:tcBorders>
          </w:tcPr>
          <w:p w14:paraId="22B093FF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  <w:p w14:paraId="3FBD47C4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959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荣誉奖励</w:t>
            </w:r>
          </w:p>
        </w:tc>
        <w:tc>
          <w:tcPr>
            <w:tcW w:w="1683" w:type="dxa"/>
          </w:tcPr>
          <w:p w14:paraId="4A556907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572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19"/>
                <w:kern w:val="0"/>
                <w:sz w:val="21"/>
                <w:szCs w:val="22"/>
                <w:lang w:val="en-US" w:eastAsia="en-US" w:bidi="ar-SA"/>
              </w:rPr>
              <w:t>国家级</w:t>
            </w:r>
          </w:p>
        </w:tc>
        <w:tc>
          <w:tcPr>
            <w:tcW w:w="2568" w:type="dxa"/>
          </w:tcPr>
          <w:p w14:paraId="213EE433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027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5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6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402D6D87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  <w:tr w14:paraId="6819B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343" w:type="dxa"/>
            <w:vMerge w:val="continue"/>
            <w:tcBorders>
              <w:top w:val="nil"/>
            </w:tcBorders>
          </w:tcPr>
          <w:p w14:paraId="07232DED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Merge w:val="continue"/>
            <w:tcBorders>
              <w:top w:val="nil"/>
            </w:tcBorders>
          </w:tcPr>
          <w:p w14:paraId="0601BC28"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</w:tcPr>
          <w:p w14:paraId="6B0BF1F3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644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8"/>
                <w:kern w:val="0"/>
                <w:sz w:val="21"/>
                <w:szCs w:val="22"/>
                <w:lang w:val="en-US" w:eastAsia="en-US" w:bidi="ar-SA"/>
              </w:rPr>
              <w:t>省级</w:t>
            </w:r>
          </w:p>
        </w:tc>
        <w:tc>
          <w:tcPr>
            <w:tcW w:w="2568" w:type="dxa"/>
          </w:tcPr>
          <w:p w14:paraId="29D640BA">
            <w:pPr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left="1021" w:firstLine="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 w:cs="Times New Roman"/>
                <w:b w:val="0"/>
                <w:snapToGrid w:val="0"/>
                <w:color w:val="000000"/>
                <w:spacing w:val="-3"/>
                <w:kern w:val="0"/>
                <w:sz w:val="21"/>
                <w:szCs w:val="22"/>
                <w:lang w:val="en-US" w:eastAsia="en-US" w:bidi="ar-SA"/>
              </w:rPr>
              <w:t>2</w:t>
            </w:r>
            <w:r>
              <w:rPr>
                <w:rFonts w:ascii="Times New Roman" w:hAnsi="Times New Roman" w:eastAsia="宋体" w:cs="仿宋"/>
                <w:b w:val="0"/>
                <w:snapToGrid w:val="0"/>
                <w:color w:val="000000"/>
                <w:spacing w:val="-3"/>
                <w:kern w:val="0"/>
                <w:sz w:val="21"/>
                <w:szCs w:val="22"/>
                <w:lang w:val="en-US" w:eastAsia="en-US" w:bidi="ar-SA"/>
              </w:rPr>
              <w:t>分</w:t>
            </w:r>
          </w:p>
        </w:tc>
        <w:tc>
          <w:tcPr>
            <w:tcW w:w="1421" w:type="dxa"/>
          </w:tcPr>
          <w:p w14:paraId="5F7669FB">
            <w:pPr>
              <w:spacing w:line="276" w:lineRule="auto" w:before="0" w:after="0"/>
              <w:ind w:firstLine="0"/>
              <w:rPr>
                <w:rFonts w:ascii="Arial"/>
                <w:sz w:val="21"/>
              </w:rPr>
            </w:pPr>
          </w:p>
        </w:tc>
      </w:tr>
    </w:tbl>
    <w:p w14:paraId="58238FCB">
      <w:pPr>
        <w:rPr>
          <w:rFonts w:ascii="Arial"/>
          <w:sz w:val="21"/>
        </w:rPr>
      </w:pPr>
    </w:p>
    <w:p w14:paraId="7ECB9615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1440" w:right="1803" w:bottom="1440" w:left="1803" w:header="0" w:footer="0" w:gutter="0"/>
          <w:cols w:space="720" w:num="1"/>
        </w:sectPr>
      </w:pPr>
    </w:p>
    <w:p w14:paraId="5D61C769">
      <w:pPr>
        <w:spacing w:line="243" w:lineRule="auto"/>
        <w:rPr>
          <w:rFonts w:ascii="Arial"/>
          <w:sz w:val="21"/>
        </w:rPr>
      </w:pPr>
    </w:p>
    <w:p w14:paraId="7B5AA9DE">
      <w:pPr>
        <w:spacing w:line="244" w:lineRule="auto"/>
        <w:rPr>
          <w:rFonts w:ascii="Arial"/>
          <w:sz w:val="21"/>
        </w:rPr>
      </w:pPr>
    </w:p>
    <w:p w14:paraId="500CC3EB">
      <w:pPr>
        <w:spacing w:line="244" w:lineRule="auto"/>
        <w:rPr>
          <w:rFonts w:ascii="Arial"/>
          <w:sz w:val="21"/>
        </w:rPr>
      </w:pPr>
    </w:p>
    <w:p w14:paraId="72AB582A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17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bCs/>
          <w:snapToGrid w:val="0"/>
          <w:color w:val="000000"/>
          <w:spacing w:val="-11"/>
          <w:kern w:val="0"/>
          <w:sz w:val="24"/>
          <w:szCs w:val="24"/>
          <w:lang w:val="en-US" w:eastAsia="en-US" w:bidi="ar-SA"/>
        </w:rPr>
        <w:t>说明：</w:t>
      </w:r>
    </w:p>
    <w:p w14:paraId="55E54F88">
      <w:pPr>
        <w:spacing w:before="160" w:line="360" w:lineRule="auto" w:after="80"/>
        <w:ind w:left="491" w:firstLine="0"/>
        <w:jc w:val="left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Times New Roman" w:hAnsi="Times New Roman" w:eastAsia="宋体" w:cs="黑体"/>
          <w:b/>
          <w:spacing w:val="-4"/>
          <w:sz w:val="28"/>
          <w:szCs w:val="24"/>
        </w:rPr>
        <w:t>一、参军入伍服兵役</w:t>
      </w:r>
    </w:p>
    <w:p w14:paraId="59E6EB9B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10" w:right="40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在校就读期间经过学校选拔到部队服兵役，经学校武装部证明，加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10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分；服兵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役期间荣立二等功，经学校武装部证明，加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20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分。本项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>加分最高</w:t>
      </w:r>
      <w:r>
        <w:rPr>
          <w:rFonts w:ascii="Times New Roman" w:hAnsi="Times New Roman" w:eastAsia="宋体" w:cs="Times New Roman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>20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>分，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63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占总加分项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的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20%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。由学生处认定。</w:t>
      </w:r>
    </w:p>
    <w:p w14:paraId="7914CC6B">
      <w:pPr>
        <w:spacing w:line="360" w:lineRule="auto" w:before="160" w:after="80"/>
        <w:ind w:left="491" w:firstLine="0"/>
        <w:jc w:val="left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Times New Roman" w:hAnsi="Times New Roman" w:eastAsia="宋体" w:cs="黑体"/>
          <w:b/>
          <w:spacing w:val="-4"/>
          <w:sz w:val="28"/>
          <w:szCs w:val="24"/>
        </w:rPr>
        <w:t>二、科研成果</w:t>
      </w:r>
    </w:p>
    <w:p w14:paraId="635F8347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17" w:right="40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2"/>
          <w:kern w:val="0"/>
          <w:sz w:val="28"/>
          <w:szCs w:val="24"/>
          <w:lang w:val="en-US" w:eastAsia="en-US" w:bidi="ar-SA"/>
        </w:rPr>
        <w:t>（一）</w:t>
      </w:r>
      <w:r>
        <w:rPr>
          <w:rFonts w:ascii="Times New Roman" w:hAnsi="Times New Roman" w:eastAsia="宋体" w:cs="仿宋"/>
          <w:b/>
          <w:snapToGrid w:val="0"/>
          <w:color w:val="000000"/>
          <w:spacing w:val="2"/>
          <w:kern w:val="0"/>
          <w:sz w:val="28"/>
          <w:szCs w:val="24"/>
          <w:lang w:val="en-US" w:eastAsia="en-US" w:bidi="ar-SA"/>
        </w:rPr>
        <w:t>发表论文：以河北北方学院为第一作者单位，学生在学术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期刊上以第一</w:t>
      </w:r>
      <w:r>
        <w:rPr>
          <w:rFonts w:ascii="Times New Roman" w:hAnsi="Times New Roman" w:eastAsia="宋体" w:cs="仿宋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作者身份发表与本学科相关的学术论文。</w:t>
      </w:r>
      <w:r>
        <w:rPr>
          <w:rFonts w:ascii="Times New Roman" w:hAnsi="Times New Roman" w:eastAsia="宋体" w:cs="仿宋"/>
          <w:b/>
          <w:snapToGrid w:val="0"/>
          <w:color w:val="000000"/>
          <w:spacing w:val="-69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由科研处根据学术论</w:t>
      </w:r>
      <w:r>
        <w:rPr>
          <w:rFonts w:ascii="Times New Roman" w:hAnsi="Times New Roman" w:eastAsia="宋体" w:cs="仿宋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 xml:space="preserve">文的分类进行认定加 </w:t>
      </w:r>
      <w:r>
        <w:rPr>
          <w:rFonts w:ascii="Times New Roman" w:hAnsi="Times New Roman" w:eastAsia="宋体" w:cs="仿宋"/>
          <w:b/>
          <w:snapToGrid w:val="0"/>
          <w:color w:val="000000"/>
          <w:spacing w:val="-6"/>
          <w:kern w:val="0"/>
          <w:sz w:val="28"/>
          <w:szCs w:val="24"/>
          <w:lang w:val="en-US" w:eastAsia="en-US" w:bidi="ar-SA"/>
        </w:rPr>
        <w:t>分。其中：</w:t>
      </w:r>
    </w:p>
    <w:p w14:paraId="6EB77E3A">
      <w:pPr>
        <w:kinsoku w:val="0"/>
        <w:autoSpaceDE w:val="0"/>
        <w:autoSpaceDN w:val="0"/>
        <w:adjustRightInd w:val="0"/>
        <w:snapToGrid w:val="0"/>
        <w:spacing w:line="360" w:lineRule="auto" w:before="160" w:after="80"/>
        <w:ind w:left="521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Times New Roman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1.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一类论文：第一作者每篇奖励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25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分。</w:t>
      </w:r>
    </w:p>
    <w:p w14:paraId="343293DE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18" w:right="52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1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）</w:t>
      </w:r>
      <w:r>
        <w:rPr>
          <w:rFonts w:ascii="Times New Roman" w:hAnsi="Times New Roman" w:eastAsia="宋体" w:cs="仿宋"/>
          <w:b/>
          <w:snapToGrid w:val="0"/>
          <w:color w:val="000000"/>
          <w:spacing w:val="-38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Nature\Science\Cell\CA\Lancet\NEJM\JAMA\BMJ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等期刊上</w:t>
      </w:r>
      <w:r>
        <w:rPr>
          <w:rFonts w:ascii="Times New Roman" w:hAnsi="Times New Roman" w:eastAsia="宋体" w:cs="仿宋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7"/>
          <w:kern w:val="0"/>
          <w:sz w:val="28"/>
          <w:szCs w:val="24"/>
          <w:lang w:val="en-US" w:eastAsia="en-US" w:bidi="ar-SA"/>
        </w:rPr>
        <w:t>发表的学术论文（不含子刊）。</w:t>
      </w:r>
    </w:p>
    <w:p w14:paraId="6634ECBC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9" w:right="40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2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）社会科学类：在《中国社会科学》、中国人文社会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科学期刊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AMI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综合评价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报告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A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刊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-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顶级期刊收录期刊上发表的学术论文；被《新华文摘》转载（论点摘编除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外）的学术论文；被全国哲学社会科学工作办公室《成果要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报》收录的学术论文。</w:t>
      </w:r>
    </w:p>
    <w:p w14:paraId="7E447011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481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Times New Roman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2.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二类论文：第一作者每篇奖励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20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分，</w:t>
      </w:r>
    </w:p>
    <w:p w14:paraId="79A45377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9" w:right="45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1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）</w:t>
      </w:r>
      <w:r>
        <w:rPr>
          <w:rFonts w:ascii="Times New Roman" w:hAnsi="Times New Roman" w:eastAsia="宋体" w:cs="仿宋"/>
          <w:b/>
          <w:snapToGrid w:val="0"/>
          <w:color w:val="000000"/>
          <w:spacing w:val="-44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SCI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中科院大区一区、</w:t>
      </w:r>
      <w:r>
        <w:rPr>
          <w:rFonts w:ascii="Times New Roman" w:hAnsi="Times New Roman" w:eastAsia="宋体" w:cs="仿宋"/>
          <w:b/>
          <w:snapToGrid w:val="0"/>
          <w:color w:val="000000"/>
          <w:spacing w:val="-66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中</w:t>
      </w:r>
      <w:r>
        <w:rPr>
          <w:rFonts w:ascii="Times New Roman" w:hAnsi="Times New Roman" w:eastAsia="宋体" w:cs="仿宋"/>
          <w:b/>
          <w:snapToGrid w:val="0"/>
          <w:color w:val="000000"/>
          <w:spacing w:val="-70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国科技期刊卓越行动计划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-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领军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期刊收录期刊上发表的学术论文。</w:t>
      </w:r>
    </w:p>
    <w:p w14:paraId="450C7EE8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15" w:right="45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2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）社会科学类：在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 xml:space="preserve">SSCI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中科院大区一区收录期刊上发表的学术论文；在中国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人文社会科学期刊</w:t>
      </w:r>
      <w:r>
        <w:rPr>
          <w:rFonts w:ascii="Times New Roman" w:hAnsi="Times New Roman" w:eastAsia="宋体" w:cs="Times New Roman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>AMI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1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综合评价报告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A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刊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-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"/>
          <w:kern w:val="0"/>
          <w:sz w:val="24"/>
          <w:szCs w:val="24"/>
          <w:lang w:val="en-US" w:eastAsia="en-US" w:bidi="ar-SA"/>
        </w:rPr>
        <w:t>权威期刊收录期刊上发表的学术论文；被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全国教育科学领导小组办公室《教育成果要报》收录的学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术论文。</w:t>
      </w:r>
    </w:p>
    <w:p w14:paraId="57D2520C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488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Times New Roman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3.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三类论文：第一作者每篇奖励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15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分，</w:t>
      </w:r>
    </w:p>
    <w:p w14:paraId="2CB9C924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11" w:right="45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1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）</w:t>
      </w:r>
      <w:r>
        <w:rPr>
          <w:rFonts w:ascii="Times New Roman" w:hAnsi="Times New Roman" w:eastAsia="宋体" w:cs="仿宋"/>
          <w:b/>
          <w:snapToGrid w:val="0"/>
          <w:color w:val="000000"/>
          <w:spacing w:val="-50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SCI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中科院大区二区、</w:t>
      </w:r>
      <w:r>
        <w:rPr>
          <w:rFonts w:ascii="Times New Roman" w:hAnsi="Times New Roman" w:eastAsia="宋体" w:cs="仿宋"/>
          <w:b/>
          <w:snapToGrid w:val="0"/>
          <w:color w:val="000000"/>
          <w:spacing w:val="-68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中</w:t>
      </w:r>
      <w:r>
        <w:rPr>
          <w:rFonts w:ascii="Times New Roman" w:hAnsi="Times New Roman" w:eastAsia="宋体" w:cs="仿宋"/>
          <w:b/>
          <w:snapToGrid w:val="0"/>
          <w:color w:val="000000"/>
          <w:spacing w:val="-70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国科技期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刊卓越行动计划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-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重点期刊收录期刊上发表的学术论文。</w:t>
      </w:r>
    </w:p>
    <w:p w14:paraId="3A09544B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39" w:right="33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2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）社会科学类：在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SSCI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中科院大区二区收录期刊上发表的学术论文；被《中</w:t>
      </w:r>
      <w:r>
        <w:rPr>
          <w:rFonts w:ascii="Times New Roman" w:hAnsi="Times New Roman" w:eastAsia="宋体" w:cs="仿宋"/>
          <w:b/>
          <w:snapToGrid w:val="0"/>
          <w:color w:val="000000"/>
          <w:spacing w:val="5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11"/>
          <w:kern w:val="0"/>
          <w:sz w:val="28"/>
          <w:szCs w:val="24"/>
          <w:lang w:val="en-US" w:eastAsia="en-US" w:bidi="ar-SA"/>
        </w:rPr>
        <w:t>国社会科学文摘》、《高等学校文科学术文摘》转载（论点摘编除外）的学术论文。</w:t>
      </w:r>
    </w:p>
    <w:p w14:paraId="14517202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477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Times New Roman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4.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1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四类论文：第一作者每篇奖励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10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分，</w:t>
      </w:r>
    </w:p>
    <w:p w14:paraId="6B2ABABB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1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）自然科学类：在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SCI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收录期刊、</w:t>
      </w:r>
      <w:r>
        <w:rPr>
          <w:rFonts w:ascii="Times New Roman" w:hAnsi="Times New Roman" w:eastAsia="宋体" w:cs="仿宋"/>
          <w:b/>
          <w:snapToGrid w:val="0"/>
          <w:color w:val="000000"/>
          <w:spacing w:val="-61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中</w:t>
      </w:r>
      <w:r>
        <w:rPr>
          <w:rFonts w:ascii="Times New Roman" w:hAnsi="Times New Roman" w:eastAsia="宋体" w:cs="仿宋"/>
          <w:b/>
          <w:snapToGrid w:val="0"/>
          <w:color w:val="000000"/>
          <w:spacing w:val="-68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国科技期刊卓越行动计划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-</w:t>
      </w:r>
      <w:r>
        <w:rPr>
          <w:rFonts w:ascii="Times New Roman" w:hAnsi="Times New Roman" w:eastAsia="宋体" w:cs="仿宋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 xml:space="preserve">梯队期刊、 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CSCD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核心库收录期刊上发表的学术论文。</w:t>
      </w:r>
    </w:p>
    <w:p w14:paraId="74BA19BC">
      <w:pPr>
        <w:spacing w:line="240" w:lineRule="auto"/>
        <w:rPr>
          <w:sz w:val="24"/>
          <w:szCs w:val="24"/>
        </w:rPr>
        <w:sectPr>
          <w:pgSz w:w="11906" w:h="16840"/>
          <w:pgMar w:top="1440" w:right="1803" w:bottom="1440" w:left="1803" w:header="0" w:footer="0" w:gutter="0"/>
          <w:cols w:space="720" w:num="1"/>
        </w:sectPr>
      </w:pPr>
    </w:p>
    <w:p w14:paraId="00A93433">
      <w:pPr>
        <w:spacing w:line="240" w:lineRule="auto"/>
        <w:rPr>
          <w:rFonts w:ascii="Arial"/>
          <w:sz w:val="21"/>
        </w:rPr>
      </w:pPr>
    </w:p>
    <w:p w14:paraId="19197D1D">
      <w:pPr>
        <w:spacing w:line="240" w:lineRule="auto"/>
        <w:rPr>
          <w:rFonts w:ascii="Arial"/>
          <w:sz w:val="21"/>
        </w:rPr>
      </w:pPr>
    </w:p>
    <w:p w14:paraId="1B721514">
      <w:pPr>
        <w:spacing w:line="240" w:lineRule="auto"/>
        <w:rPr>
          <w:rFonts w:ascii="Arial"/>
          <w:sz w:val="21"/>
        </w:rPr>
      </w:pPr>
    </w:p>
    <w:p w14:paraId="76E8BC38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15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2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）社会科学类：在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SSCI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收录期刊、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CSSCI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（南大核心）上发表的学术论文；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在《人民日报》《光明日报》《经济日报》理论版刊发（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2000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字以上）的学术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论文；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被人大复印资料、《新华文摘》、《高等学校文科学术文摘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》论点摘编转载的学术论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文。</w:t>
      </w:r>
    </w:p>
    <w:p w14:paraId="62ADBCC1">
      <w:pPr>
        <w:kinsoku w:val="0"/>
        <w:autoSpaceDE w:val="0"/>
        <w:autoSpaceDN w:val="0"/>
        <w:adjustRightInd w:val="0"/>
        <w:snapToGrid w:val="0"/>
        <w:spacing w:line="360" w:lineRule="auto" w:before="160" w:after="80"/>
        <w:ind w:left="493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5.</w:t>
      </w:r>
      <w:r>
        <w:rPr>
          <w:rFonts w:ascii="Times New Roman" w:hAnsi="Times New Roman" w:eastAsia="宋体" w:cs="仿宋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五类论文：第一作者每篇奖励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8</w:t>
      </w:r>
      <w:r>
        <w:rPr>
          <w:rFonts w:ascii="Times New Roman" w:hAnsi="Times New Roman" w:eastAsia="宋体" w:cs="仿宋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分。</w:t>
      </w:r>
    </w:p>
    <w:p w14:paraId="2CA9B20D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16" w:right="115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1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）</w:t>
      </w:r>
      <w:r>
        <w:rPr>
          <w:rFonts w:ascii="Times New Roman" w:hAnsi="Times New Roman" w:eastAsia="宋体" w:cs="仿宋"/>
          <w:b/>
          <w:snapToGrid w:val="0"/>
          <w:color w:val="000000"/>
          <w:spacing w:val="-59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自然科学类：在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EI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7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、北大中文核心、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CSCD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扩展库收录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期刊上发表的学术</w:t>
      </w:r>
      <w:r>
        <w:rPr>
          <w:rFonts w:ascii="Times New Roman" w:hAnsi="Times New Roman" w:eastAsia="宋体" w:cs="仿宋"/>
          <w:b/>
          <w:snapToGrid w:val="0"/>
          <w:color w:val="000000"/>
          <w:spacing w:val="-7"/>
          <w:kern w:val="0"/>
          <w:sz w:val="28"/>
          <w:szCs w:val="24"/>
          <w:lang w:val="en-US" w:eastAsia="en-US" w:bidi="ar-SA"/>
        </w:rPr>
        <w:t>论文。</w:t>
      </w:r>
    </w:p>
    <w:p w14:paraId="2C82FFAF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18" w:right="117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2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）社会科学类：在北大中文核心期刊、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>CSSCI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扩展版收录期刊上发表的</w:t>
      </w:r>
      <w:r>
        <w:rPr>
          <w:rFonts w:ascii="Times New Roman" w:hAnsi="Times New Roman" w:eastAsia="宋体" w:cs="仿宋"/>
          <w:b/>
          <w:snapToGrid w:val="0"/>
          <w:color w:val="000000"/>
          <w:spacing w:val="-29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学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术论文；在《河北日报》理论版刊发（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2000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字以上）的学术论文。</w:t>
      </w:r>
    </w:p>
    <w:p w14:paraId="49C35198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490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Times New Roman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6.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《河北北方学院学报》发表论文，第一作者每篇奖励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4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分。</w:t>
      </w:r>
    </w:p>
    <w:p w14:paraId="791D6099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493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Times New Roman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7.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其他一般期刊（只奖励一篇</w:t>
      </w:r>
      <w:r>
        <w:rPr>
          <w:rFonts w:ascii="Times New Roman" w:hAnsi="Times New Roman" w:eastAsia="宋体" w:cs="仿宋"/>
          <w:b/>
          <w:snapToGrid w:val="0"/>
          <w:color w:val="000000"/>
          <w:spacing w:val="-36"/>
          <w:kern w:val="0"/>
          <w:sz w:val="28"/>
          <w:szCs w:val="24"/>
          <w:lang w:val="en-US" w:eastAsia="en-US" w:bidi="ar-SA"/>
        </w:rPr>
        <w:t>），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第一作者奖励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4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分。</w:t>
      </w:r>
    </w:p>
    <w:p w14:paraId="5B988322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right="117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同一论文被全文转载按就高原则计分；同一刊物被多个期刊数据库收录按就高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原则计分；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SCI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收录论文按中科院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JCR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分区计分；共同第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一作者按相应级别论文分数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÷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共同第一作者人数计分（其中如为共同第一作者，须排序在前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3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）。由科研处、图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书馆认定。</w:t>
      </w:r>
    </w:p>
    <w:p w14:paraId="2D5000AE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499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注：学生公开发表的文章以当年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7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月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 xml:space="preserve">31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日（含）前见刊为准</w:t>
      </w:r>
    </w:p>
    <w:p w14:paraId="784DC2ED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519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3"/>
          <w:kern w:val="0"/>
          <w:sz w:val="28"/>
          <w:szCs w:val="24"/>
          <w:lang w:val="en-US" w:eastAsia="en-US" w:bidi="ar-SA"/>
        </w:rPr>
        <w:t>（二）</w:t>
      </w:r>
      <w:r>
        <w:rPr>
          <w:rFonts w:ascii="Times New Roman" w:hAnsi="Times New Roman" w:eastAsia="宋体" w:cs="仿宋"/>
          <w:b/>
          <w:snapToGrid w:val="0"/>
          <w:color w:val="000000"/>
          <w:spacing w:val="-3"/>
          <w:kern w:val="0"/>
          <w:sz w:val="28"/>
          <w:szCs w:val="24"/>
          <w:lang w:val="en-US" w:eastAsia="en-US" w:bidi="ar-SA"/>
        </w:rPr>
        <w:t>学术专著：以独立作者或第一作者发表。由科研处认定。</w:t>
      </w:r>
    </w:p>
    <w:p w14:paraId="04F0E1C6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20" w:right="119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（三）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国家授权发明专利（不含外观设计专利和实用新型专利）仅第一发明人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奖励加分，专利需与专业相关。由科研处认定。</w:t>
      </w:r>
    </w:p>
    <w:p w14:paraId="18155AA3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60" w:right="119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（四）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大学生创新创业训练计划项目：需为国家级大学生创新创业训练计划项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目并已完成结题验收。由创新创业与就业指导中心认定。</w:t>
      </w:r>
    </w:p>
    <w:p w14:paraId="29166361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496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本项加分最高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35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分，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6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占总加分项的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35%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。</w:t>
      </w:r>
    </w:p>
    <w:p w14:paraId="4F31E894">
      <w:pPr>
        <w:spacing w:before="160" w:line="360" w:lineRule="auto" w:after="80"/>
        <w:ind w:left="496" w:firstLine="0"/>
        <w:jc w:val="left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Times New Roman" w:hAnsi="Times New Roman" w:eastAsia="宋体" w:cs="黑体"/>
          <w:b/>
          <w:spacing w:val="-4"/>
          <w:sz w:val="28"/>
          <w:szCs w:val="24"/>
        </w:rPr>
        <w:t>三、竞赛获奖</w:t>
      </w:r>
    </w:p>
    <w:p w14:paraId="141A0E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 w:before="0" w:after="80"/>
        <w:ind w:left="16" w:right="115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此类竞赛是指由学校认定的国家级竞赛。奖励加分认定以参加竞赛获奖证书为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依据。</w:t>
      </w:r>
    </w:p>
    <w:p w14:paraId="2E9E61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 w:before="0" w:after="80"/>
        <w:ind w:left="15" w:right="35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（一）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中国国际大学生创新大赛、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“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挑战杯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”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大学生课外学术科技作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品竞赛、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“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9"/>
          <w:kern w:val="0"/>
          <w:sz w:val="24"/>
          <w:szCs w:val="24"/>
          <w:lang w:val="en-US" w:eastAsia="en-US" w:bidi="ar-SA"/>
        </w:rPr>
        <w:t>挑战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杯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”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34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大学生创业计划竞赛，按照排名，第一系数为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1.0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6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、第二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0.8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、第三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0.6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2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、第四及以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后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0.3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1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。由团委认定。</w:t>
      </w:r>
    </w:p>
    <w:p w14:paraId="47A377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 w:before="160" w:after="80"/>
        <w:ind w:left="509" w:firstLine="0"/>
        <w:jc w:val="left"/>
        <w:textAlignment w:val="baseline"/>
        <w:rPr>
          <w:sz w:val="24"/>
          <w:szCs w:val="24"/>
        </w:rPr>
        <w:sectPr>
          <w:pgSz w:w="11906" w:h="16840"/>
          <w:pgMar w:top="1440" w:right="1803" w:bottom="1440" w:left="1803" w:header="0" w:footer="0" w:gutter="0"/>
          <w:cols w:space="720" w:num="1"/>
        </w:sectPr>
      </w:pPr>
      <w:r>
        <w:rPr>
          <w:rFonts w:ascii="Times New Roman" w:hAnsi="Times New Roman" w:eastAsia="宋体" w:cs="楷体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（二）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专业技能等竞赛获奖，指由教育部及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其相关专业教学指导委员会举办的</w:t>
      </w:r>
    </w:p>
    <w:p w14:paraId="6A10FA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 w:before="0" w:after="80"/>
        <w:ind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学科竞赛，由教务处认定。</w:t>
      </w:r>
    </w:p>
    <w:p w14:paraId="0DE7E4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 w:before="160" w:after="80"/>
        <w:ind w:left="58" w:right="36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13"/>
          <w:kern w:val="0"/>
          <w:sz w:val="28"/>
          <w:szCs w:val="24"/>
          <w:lang w:val="en-US" w:eastAsia="en-US" w:bidi="ar-SA"/>
        </w:rPr>
        <w:t>（三）</w:t>
      </w:r>
      <w:r>
        <w:rPr>
          <w:rFonts w:ascii="Times New Roman" w:hAnsi="Times New Roman" w:eastAsia="宋体" w:cs="仿宋"/>
          <w:b/>
          <w:snapToGrid w:val="0"/>
          <w:color w:val="000000"/>
          <w:spacing w:val="-13"/>
          <w:kern w:val="0"/>
          <w:sz w:val="28"/>
          <w:szCs w:val="24"/>
          <w:lang w:val="en-US" w:eastAsia="en-US" w:bidi="ar-SA"/>
        </w:rPr>
        <w:t>创新创业竞赛获奖，指大学生创新创业年会等竞赛（竞赛团体奖主力队员）。</w:t>
      </w:r>
      <w:r>
        <w:rPr>
          <w:rFonts w:ascii="Times New Roman" w:hAnsi="Times New Roman" w:eastAsia="宋体" w:cs="仿宋"/>
          <w:b/>
          <w:snapToGrid w:val="0"/>
          <w:color w:val="000000"/>
          <w:spacing w:val="-6"/>
          <w:kern w:val="0"/>
          <w:sz w:val="28"/>
          <w:szCs w:val="24"/>
          <w:lang w:val="en-US" w:eastAsia="en-US" w:bidi="ar-SA"/>
        </w:rPr>
        <w:t>由创新创业与就业指导中心认定。</w:t>
      </w:r>
    </w:p>
    <w:p w14:paraId="3A8646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 w:before="160" w:after="80"/>
        <w:ind w:left="5" w:right="343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（四）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文化、艺术、体育比赛获奖，指全国大学生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艺术展演、全国性运动会、</w:t>
      </w:r>
      <w:r>
        <w:rPr>
          <w:rFonts w:ascii="Times New Roman" w:hAnsi="Times New Roman" w:eastAsia="宋体" w:cs="仿宋"/>
          <w:b/>
          <w:snapToGrid w:val="0"/>
          <w:color w:val="000000"/>
          <w:spacing w:val="-1"/>
          <w:kern w:val="0"/>
          <w:sz w:val="28"/>
          <w:szCs w:val="24"/>
          <w:lang w:val="en-US" w:eastAsia="en-US" w:bidi="ar-SA"/>
        </w:rPr>
        <w:t>大学生运动会等（竞赛团体奖主力队员）。由公共体育部和艺术学院等单位</w:t>
      </w:r>
      <w:r>
        <w:rPr>
          <w:rFonts w:ascii="Times New Roman" w:hAnsi="Times New Roman" w:eastAsia="宋体" w:cs="仿宋"/>
          <w:b/>
          <w:snapToGrid w:val="0"/>
          <w:color w:val="000000"/>
          <w:spacing w:val="-2"/>
          <w:kern w:val="0"/>
          <w:sz w:val="28"/>
          <w:szCs w:val="24"/>
          <w:lang w:val="en-US" w:eastAsia="en-US" w:bidi="ar-SA"/>
        </w:rPr>
        <w:t>组织认</w:t>
      </w:r>
      <w:r>
        <w:rPr>
          <w:rFonts w:ascii="Times New Roman" w:hAnsi="Times New Roman" w:eastAsia="宋体" w:cs="仿宋"/>
          <w:b/>
          <w:snapToGrid w:val="0"/>
          <w:color w:val="000000"/>
          <w:spacing w:val="-10"/>
          <w:kern w:val="0"/>
          <w:sz w:val="28"/>
          <w:szCs w:val="24"/>
          <w:lang w:val="en-US" w:eastAsia="en-US" w:bidi="ar-SA"/>
        </w:rPr>
        <w:t>定。</w:t>
      </w:r>
    </w:p>
    <w:p w14:paraId="7ECF0124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right="311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>全国英语竞赛：特等奖按照一等奖计分、其余等级计分方式相应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下调一级，英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语竞赛三等奖视为四等奖，不加分。</w:t>
      </w:r>
    </w:p>
    <w:p w14:paraId="3C14BD8B">
      <w:pPr>
        <w:kinsoku w:val="0"/>
        <w:autoSpaceDE w:val="0"/>
        <w:autoSpaceDN w:val="0"/>
        <w:adjustRightInd w:val="0"/>
        <w:snapToGrid w:val="0"/>
        <w:spacing w:line="360" w:lineRule="auto" w:before="0" w:after="80"/>
        <w:ind w:left="481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本项加分最高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35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分，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67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占总加分项的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35%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8"/>
          <w:kern w:val="0"/>
          <w:sz w:val="24"/>
          <w:szCs w:val="24"/>
          <w:lang w:val="en-US" w:eastAsia="en-US" w:bidi="ar-SA"/>
        </w:rPr>
        <w:t>。</w:t>
      </w:r>
    </w:p>
    <w:p w14:paraId="3C2D088B">
      <w:pPr>
        <w:spacing w:before="160" w:line="360" w:lineRule="auto" w:after="80"/>
        <w:ind w:left="490" w:firstLine="0"/>
        <w:jc w:val="left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Times New Roman" w:hAnsi="Times New Roman" w:eastAsia="宋体" w:cs="黑体"/>
          <w:b/>
          <w:spacing w:val="-8"/>
          <w:sz w:val="28"/>
          <w:szCs w:val="24"/>
        </w:rPr>
        <w:t>四、荣誉</w:t>
      </w:r>
    </w:p>
    <w:p w14:paraId="6AFF8DE9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3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在校期间获得省级及以上优秀学生干部、优秀团干部、优秀共青团员、三好学生、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社会实践先进个人、中国大学生自强之星、优秀青年志愿者等荣誉称号，以荣誉证书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为认定依据。同一年同类奖励项目取最高分，不重复计算。由学生处、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团委等组织评</w:t>
      </w:r>
      <w:r>
        <w:rPr>
          <w:rFonts w:ascii="Times New Roman" w:hAnsi="Times New Roman" w:eastAsia="宋体" w:cs="仿宋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选推荐部门认定。</w:t>
      </w:r>
    </w:p>
    <w:p w14:paraId="4025796D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481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本项加分最高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10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分，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6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占总加分项的</w:t>
      </w:r>
      <w:r>
        <w:rPr>
          <w:rFonts w:ascii="Times New Roman" w:hAnsi="Times New Roman" w:eastAsia="宋体" w:cs="Times New Roman"/>
          <w:b w:val="0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10%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10"/>
          <w:kern w:val="0"/>
          <w:sz w:val="24"/>
          <w:szCs w:val="24"/>
          <w:lang w:val="en-US" w:eastAsia="en-US" w:bidi="ar-SA"/>
        </w:rPr>
        <w:t>。</w:t>
      </w:r>
    </w:p>
    <w:p w14:paraId="52A5218A">
      <w:pPr>
        <w:spacing w:before="160" w:line="360" w:lineRule="auto" w:after="80"/>
        <w:ind w:left="483" w:firstLine="0"/>
        <w:jc w:val="left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Times New Roman" w:hAnsi="Times New Roman" w:eastAsia="宋体" w:cs="黑体"/>
          <w:b/>
          <w:spacing w:val="-6"/>
          <w:sz w:val="28"/>
          <w:szCs w:val="24"/>
        </w:rPr>
        <w:t>五、其他</w:t>
      </w:r>
    </w:p>
    <w:p w14:paraId="101DD169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511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（一）</w:t>
      </w:r>
      <w:r>
        <w:rPr>
          <w:rFonts w:ascii="Times New Roman" w:hAnsi="Times New Roman" w:eastAsia="宋体" w:cs="仿宋"/>
          <w:b/>
          <w:snapToGrid w:val="0"/>
          <w:color w:val="000000"/>
          <w:spacing w:val="-4"/>
          <w:kern w:val="0"/>
          <w:sz w:val="28"/>
          <w:szCs w:val="24"/>
          <w:lang w:val="en-US" w:eastAsia="en-US" w:bidi="ar-SA"/>
        </w:rPr>
        <w:t>区域性赛事等同于省级级别。</w:t>
      </w:r>
    </w:p>
    <w:p w14:paraId="0801695D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3" w:right="223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（二）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竞赛获得单项第一名，按一等奖加分；同一人员参加同一赛事获得多次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3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2"/>
          <w:kern w:val="0"/>
          <w:sz w:val="24"/>
          <w:szCs w:val="24"/>
          <w:lang w:val="en-US" w:eastAsia="en-US" w:bidi="ar-SA"/>
        </w:rPr>
        <w:t>奖励（如：既获单项奖又获团体奖）、同一作品参加不同赛事获得多项奖项者，取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11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 w:val="0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最高奖励分数计算一次，不重复计算。</w:t>
      </w:r>
    </w:p>
    <w:p w14:paraId="45A9D535">
      <w:pPr>
        <w:kinsoku w:val="0"/>
        <w:autoSpaceDE w:val="0"/>
        <w:autoSpaceDN w:val="0"/>
        <w:adjustRightInd w:val="0"/>
        <w:snapToGrid w:val="0"/>
        <w:spacing w:before="0" w:line="360" w:lineRule="auto" w:after="80"/>
        <w:ind w:left="487" w:firstLine="482"/>
        <w:jc w:val="both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仿宋"/>
          <w:b w:val="0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竞赛团队获奖：团队主力队员按获奖证书上获奖人认定。</w:t>
      </w:r>
    </w:p>
    <w:p w14:paraId="0A0198C2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5" w:right="225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2"/>
          <w:kern w:val="0"/>
          <w:sz w:val="28"/>
          <w:szCs w:val="24"/>
          <w:lang w:val="en-US" w:eastAsia="en-US" w:bidi="ar-SA"/>
        </w:rPr>
        <w:t>（三）</w:t>
      </w:r>
      <w:r>
        <w:rPr>
          <w:rFonts w:ascii="Times New Roman" w:hAnsi="Times New Roman" w:eastAsia="宋体" w:cs="仿宋"/>
          <w:b/>
          <w:snapToGrid w:val="0"/>
          <w:color w:val="000000"/>
          <w:spacing w:val="2"/>
          <w:kern w:val="0"/>
          <w:sz w:val="28"/>
          <w:szCs w:val="24"/>
          <w:lang w:val="en-US" w:eastAsia="en-US" w:bidi="ar-SA"/>
        </w:rPr>
        <w:t>学生与直系亲属或学历、职称、职务明显高于本人者合作的科研成</w:t>
      </w:r>
      <w:r>
        <w:rPr>
          <w:rFonts w:ascii="Times New Roman" w:hAnsi="Times New Roman" w:eastAsia="宋体" w:cs="仿宋"/>
          <w:b/>
          <w:snapToGrid w:val="0"/>
          <w:color w:val="000000"/>
          <w:spacing w:val="1"/>
          <w:kern w:val="0"/>
          <w:sz w:val="28"/>
          <w:szCs w:val="24"/>
          <w:lang w:val="en-US" w:eastAsia="en-US" w:bidi="ar-SA"/>
        </w:rPr>
        <w:t>果、</w:t>
      </w:r>
      <w:r>
        <w:rPr>
          <w:rFonts w:ascii="Times New Roman" w:hAnsi="Times New Roman" w:eastAsia="宋体" w:cs="仿宋"/>
          <w:b/>
          <w:snapToGrid w:val="0"/>
          <w:color w:val="000000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2"/>
          <w:kern w:val="0"/>
          <w:sz w:val="28"/>
          <w:szCs w:val="24"/>
          <w:lang w:val="en-US" w:eastAsia="en-US" w:bidi="ar-SA"/>
        </w:rPr>
        <w:t>竞赛奖项仅作为参考，不纳入学生本人推免遴选综合评价成绩计算体系，同等条件</w:t>
      </w:r>
      <w:r>
        <w:rPr>
          <w:rFonts w:ascii="Times New Roman" w:hAnsi="Times New Roman" w:eastAsia="宋体" w:cs="仿宋"/>
          <w:b/>
          <w:snapToGrid w:val="0"/>
          <w:color w:val="000000"/>
          <w:spacing w:val="6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下可优先考虑。</w:t>
      </w:r>
    </w:p>
    <w:p w14:paraId="706184EA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492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（四）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以上奖励加分项总和的上限为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100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分，超过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100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分的按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100</w:t>
      </w:r>
      <w:r>
        <w:rPr>
          <w:rFonts w:ascii="Times New Roman" w:hAnsi="Times New Roman" w:eastAsia="宋体" w:cs="仿宋"/>
          <w:b/>
          <w:snapToGrid w:val="0"/>
          <w:color w:val="000000"/>
          <w:spacing w:val="-5"/>
          <w:kern w:val="0"/>
          <w:sz w:val="28"/>
          <w:szCs w:val="24"/>
          <w:lang w:val="en-US" w:eastAsia="en-US" w:bidi="ar-SA"/>
        </w:rPr>
        <w:t>分计。</w:t>
      </w:r>
    </w:p>
    <w:p w14:paraId="0AD179A2">
      <w:pPr>
        <w:kinsoku w:val="0"/>
        <w:autoSpaceDE w:val="0"/>
        <w:autoSpaceDN w:val="0"/>
        <w:adjustRightInd w:val="0"/>
        <w:snapToGrid w:val="0"/>
        <w:spacing w:before="160" w:line="360" w:lineRule="auto" w:after="80"/>
        <w:ind w:left="22" w:right="167" w:firstLine="0"/>
        <w:jc w:val="left"/>
        <w:textAlignment w:val="baseline"/>
        <w:rPr>
          <w:rFonts w:ascii="仿宋" w:hAnsi="仿宋" w:eastAsia="仿宋" w:cs="仿宋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Times New Roman" w:hAnsi="Times New Roman" w:eastAsia="宋体" w:cs="楷体"/>
          <w:b/>
          <w:snapToGrid w:val="0"/>
          <w:color w:val="000000"/>
          <w:spacing w:val="-10"/>
          <w:kern w:val="0"/>
          <w:sz w:val="28"/>
          <w:szCs w:val="24"/>
          <w:lang w:val="en-US" w:eastAsia="en-US" w:bidi="ar-SA"/>
        </w:rPr>
        <w:t>（五）</w:t>
      </w:r>
      <w:r>
        <w:rPr>
          <w:rFonts w:ascii="Times New Roman" w:hAnsi="Times New Roman" w:eastAsia="宋体" w:cs="仿宋"/>
          <w:b/>
          <w:snapToGrid w:val="0"/>
          <w:color w:val="000000"/>
          <w:spacing w:val="-10"/>
          <w:kern w:val="0"/>
          <w:sz w:val="28"/>
          <w:szCs w:val="24"/>
          <w:lang w:val="en-US" w:eastAsia="en-US" w:bidi="ar-SA"/>
        </w:rPr>
        <w:t>学生依据本《推免办法》的评分细则进行综合评分，当出现综合评分相同，</w:t>
      </w:r>
      <w:r>
        <w:rPr>
          <w:rFonts w:ascii="Times New Roman" w:hAnsi="Times New Roman" w:eastAsia="宋体" w:cs="仿宋"/>
          <w:b/>
          <w:snapToGrid w:val="0"/>
          <w:color w:val="000000"/>
          <w:spacing w:val="5"/>
          <w:kern w:val="0"/>
          <w:sz w:val="28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宋体" w:cs="仿宋"/>
          <w:b/>
          <w:snapToGrid w:val="0"/>
          <w:color w:val="000000"/>
          <w:spacing w:val="-3"/>
          <w:kern w:val="0"/>
          <w:sz w:val="28"/>
          <w:szCs w:val="24"/>
          <w:lang w:val="en-US" w:eastAsia="en-US" w:bidi="ar-SA"/>
        </w:rPr>
        <w:t>需要明确排名先后顺序时，按学生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3"/>
          <w:kern w:val="0"/>
          <w:sz w:val="28"/>
          <w:szCs w:val="24"/>
          <w:lang w:val="en-US" w:eastAsia="en-US" w:bidi="ar-SA"/>
        </w:rPr>
        <w:t>“</w:t>
      </w:r>
      <w:r>
        <w:rPr>
          <w:rFonts w:ascii="Times New Roman" w:hAnsi="Times New Roman" w:eastAsia="宋体" w:cs="仿宋"/>
          <w:b/>
          <w:snapToGrid w:val="0"/>
          <w:color w:val="000000"/>
          <w:spacing w:val="-3"/>
          <w:kern w:val="0"/>
          <w:sz w:val="28"/>
          <w:szCs w:val="24"/>
          <w:lang w:val="en-US" w:eastAsia="en-US" w:bidi="ar-SA"/>
        </w:rPr>
        <w:t>加权平均学分绩</w:t>
      </w:r>
      <w:r>
        <w:rPr>
          <w:rFonts w:ascii="Times New Roman" w:hAnsi="Times New Roman" w:eastAsia="宋体" w:cs="Times New Roman"/>
          <w:b/>
          <w:snapToGrid w:val="0"/>
          <w:color w:val="000000"/>
          <w:spacing w:val="-3"/>
          <w:kern w:val="0"/>
          <w:sz w:val="28"/>
          <w:szCs w:val="24"/>
          <w:lang w:val="en-US" w:eastAsia="en-US" w:bidi="ar-SA"/>
        </w:rPr>
        <w:t>”</w:t>
      </w:r>
      <w:r>
        <w:rPr>
          <w:rFonts w:ascii="Times New Roman" w:hAnsi="Times New Roman" w:eastAsia="宋体" w:cs="仿宋"/>
          <w:b/>
          <w:snapToGrid w:val="0"/>
          <w:color w:val="000000"/>
          <w:spacing w:val="-3"/>
          <w:kern w:val="0"/>
          <w:sz w:val="28"/>
          <w:szCs w:val="24"/>
          <w:lang w:val="en-US" w:eastAsia="en-US" w:bidi="ar-SA"/>
        </w:rPr>
        <w:t>从高到低排序。</w:t>
      </w:r>
    </w:p>
    <w:p w14:paraId="3607AA55">
      <w:pPr>
        <w:spacing w:line="276" w:lineRule="auto"/>
        <w:rPr>
          <w:sz w:val="24"/>
          <w:szCs w:val="24"/>
        </w:rPr>
        <w:sectPr>
          <w:pgSz w:w="11906" w:h="16840"/>
          <w:pgMar w:top="1440" w:right="1803" w:bottom="1440" w:left="1803" w:header="0" w:footer="0" w:gutter="0"/>
          <w:cols w:space="720" w:num="1"/>
        </w:sectPr>
      </w:pPr>
    </w:p>
    <w:p w14:paraId="092C28D5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47C9A"/>
    <w:rsid w:val="0EBE46BE"/>
    <w:rsid w:val="0EE47C9A"/>
    <w:rsid w:val="14A02B65"/>
    <w:rsid w:val="2BA86A38"/>
    <w:rsid w:val="4A2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2025-09-02T02:44:00Z</dcterms:created>
  <dc:creator>夏初，那抹微凉</dc:creator>
  <cp:lastModifiedBy>夏初，那抹微凉</cp:lastModifiedBy>
  <dcterms:modified xsi:type="dcterms:W3CDTF">2025-09-02T02:47:33Z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0371E0F73297456EADB9A267107DE7AA_11</vt:lpwstr>
  </property>
  <property fmtid="{D5CDD505-2E9C-101B-9397-08002B2CF9AE}" pid="4" name="KSOTemplateDocerSaveRecord">
    <vt:lpwstr>eyJoZGlkIjoiMTY1NzZmNDkyNjBhNTYxYzFiMDkwYTZmNGNkYmRlZjgiLCJ1c2VySWQiOiIzMTMyOTg4NDYifQ==</vt:lpwstr>
  </property>
</Properties>
</file>