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832"/>
        <w:spacing w:before="341" w:line="219" w:lineRule="auto"/>
        <w:outlineLvl w:val="0"/>
        <w:rPr>
          <w:rFonts w:ascii="SimSun" w:hAnsi="SimSun" w:eastAsia="SimSun" w:cs="SimSun"/>
          <w:sz w:val="105"/>
          <w:szCs w:val="105"/>
        </w:rPr>
      </w:pPr>
      <w:r>
        <w:rPr>
          <w:rFonts w:ascii="SimSun" w:hAnsi="SimSun" w:eastAsia="SimSun" w:cs="SimSun"/>
          <w:sz w:val="105"/>
          <w:szCs w:val="105"/>
          <w:b/>
          <w:bCs/>
          <w:color w:val="FF0030"/>
          <w:spacing w:val="-112"/>
          <w:w w:val="97"/>
        </w:rPr>
        <w:t>江西中医药大学文件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469"/>
        <w:spacing w:before="11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2"/>
        </w:rPr>
        <w:t>校发〔2024〕42号</w:t>
      </w:r>
    </w:p>
    <w:p>
      <w:pPr>
        <w:ind w:firstLine="4549"/>
        <w:spacing w:before="79" w:line="710" w:lineRule="exact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234800</wp:posOffset>
            </wp:positionV>
            <wp:extent cx="2813058" cy="19023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13058" cy="19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4"/>
        </w:rPr>
        <w:drawing>
          <wp:inline distT="0" distB="0" distL="0" distR="0">
            <wp:extent cx="3321081" cy="45077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21081" cy="450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25"/>
        <w:spacing w:before="359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28"/>
        </w:rPr>
        <w:t>关于印发《江西中医药大学推荐优秀应届本科</w:t>
      </w:r>
    </w:p>
    <w:p>
      <w:pPr>
        <w:ind w:left="1025"/>
        <w:spacing w:before="28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23"/>
        </w:rPr>
        <w:t>毕业生免试攻读硕士学位研究生实施办法</w:t>
      </w:r>
    </w:p>
    <w:p>
      <w:pPr>
        <w:ind w:left="3395"/>
        <w:spacing w:before="31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32"/>
        </w:rPr>
        <w:t>(修订)》的通知</w:t>
      </w:r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ind w:left="619"/>
        <w:spacing w:before="105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9"/>
        </w:rPr>
        <w:t>校属(附属)各部门、各单位：</w:t>
      </w:r>
    </w:p>
    <w:p>
      <w:pPr>
        <w:ind w:left="619" w:right="827" w:firstLine="645"/>
        <w:spacing w:before="145" w:line="298" w:lineRule="auto"/>
        <w:jc w:val="both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17"/>
        </w:rPr>
        <w:t>《江西中医药大学推荐优秀应届本科毕业生免试攻读</w:t>
      </w:r>
      <w:r>
        <w:rPr>
          <w:rFonts w:ascii="FangSong" w:hAnsi="FangSong" w:eastAsia="FangSong" w:cs="FangSong"/>
          <w:sz w:val="35"/>
          <w:szCs w:val="35"/>
          <w:spacing w:val="1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5"/>
        </w:rPr>
        <w:t>硕士学位研究生实施办法(修订)》已经学校2024年10月12日</w:t>
      </w:r>
      <w:r>
        <w:rPr>
          <w:rFonts w:ascii="FangSong" w:hAnsi="FangSong" w:eastAsia="FangSong" w:cs="FangSong"/>
          <w:sz w:val="35"/>
          <w:szCs w:val="35"/>
          <w:spacing w:val="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9"/>
        </w:rPr>
        <w:t>第10次校长办公会审议通过，现印发给你们，请遵</w:t>
      </w:r>
      <w:r>
        <w:rPr>
          <w:rFonts w:ascii="FangSong" w:hAnsi="FangSong" w:eastAsia="FangSong" w:cs="FangSong"/>
          <w:sz w:val="35"/>
          <w:szCs w:val="35"/>
          <w:spacing w:val="-30"/>
        </w:rPr>
        <w:t>照执行。</w:t>
      </w: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5999"/>
        <w:spacing w:before="105" w:line="222" w:lineRule="auto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3886018</wp:posOffset>
            </wp:positionH>
            <wp:positionV relativeFrom="paragraph">
              <wp:posOffset>-486300</wp:posOffset>
            </wp:positionV>
            <wp:extent cx="1530526" cy="1511378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30526" cy="1511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35"/>
        </w:rPr>
        <w:t>2024年10月12日</w:t>
      </w:r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ind w:firstLine="619"/>
        <w:spacing w:line="30" w:lineRule="exact"/>
        <w:rPr/>
      </w:pPr>
      <w:r>
        <w:rPr/>
        <w:drawing>
          <wp:inline distT="0" distB="0" distL="0" distR="0">
            <wp:extent cx="5321287" cy="19023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21287" cy="1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29"/>
        <w:spacing w:before="80" w:line="222" w:lineRule="auto"/>
        <w:tabs>
          <w:tab w:val="left" w:pos="779"/>
        </w:tabs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u w:val="single" w:color="auto"/>
        </w:rPr>
        <w:tab/>
      </w:r>
      <w:r>
        <w:rPr>
          <w:rFonts w:ascii="FangSong" w:hAnsi="FangSong" w:eastAsia="FangSong" w:cs="FangSong"/>
          <w:sz w:val="32"/>
          <w:szCs w:val="32"/>
          <w:u w:val="single" w:color="auto"/>
          <w:spacing w:val="-16"/>
        </w:rPr>
        <w:t>江西中医药大学办公室</w:t>
      </w:r>
      <w:r>
        <w:rPr>
          <w:rFonts w:ascii="FangSong" w:hAnsi="FangSong" w:eastAsia="FangSong" w:cs="FangSong"/>
          <w:sz w:val="32"/>
          <w:szCs w:val="32"/>
          <w:u w:val="single" w:color="auto"/>
          <w:spacing w:val="9"/>
        </w:rPr>
        <w:t xml:space="preserve">              </w:t>
      </w:r>
      <w:r>
        <w:rPr>
          <w:rFonts w:ascii="FangSong" w:hAnsi="FangSong" w:eastAsia="FangSong" w:cs="FangSong"/>
          <w:sz w:val="32"/>
          <w:szCs w:val="32"/>
          <w:u w:val="single" w:color="auto"/>
          <w:spacing w:val="-16"/>
        </w:rPr>
        <w:t>2024年10月17日印发</w:t>
      </w:r>
      <w:r>
        <w:rPr>
          <w:rFonts w:ascii="FangSong" w:hAnsi="FangSong" w:eastAsia="FangSong" w:cs="FangSong"/>
          <w:sz w:val="32"/>
          <w:szCs w:val="32"/>
          <w:u w:val="single" w:color="auto"/>
          <w:spacing w:val="6"/>
        </w:rPr>
        <w:t xml:space="preserve"> </w:t>
      </w:r>
    </w:p>
    <w:p>
      <w:pPr>
        <w:spacing w:line="222" w:lineRule="auto"/>
        <w:sectPr>
          <w:footerReference w:type="default" r:id="rId1"/>
          <w:pgSz w:w="11900" w:h="16830"/>
          <w:pgMar w:top="1430" w:right="1029" w:bottom="1303" w:left="1090" w:header="0" w:footer="963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195"/>
        <w:spacing w:before="7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1"/>
        </w:rPr>
        <w:t>江西中医药大学推荐优秀应届本科毕业生免</w:t>
      </w:r>
      <w:r>
        <w:rPr>
          <w:rFonts w:ascii="SimSun" w:hAnsi="SimSun" w:eastAsia="SimSun" w:cs="SimSun"/>
          <w:sz w:val="39"/>
          <w:szCs w:val="39"/>
          <w:b/>
          <w:bCs/>
          <w:spacing w:val="-32"/>
        </w:rPr>
        <w:t>试攻读</w:t>
      </w:r>
    </w:p>
    <w:p>
      <w:pPr>
        <w:ind w:left="2185"/>
        <w:spacing w:before="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1"/>
        </w:rPr>
        <w:t>硕士学位研究生实施办法</w:t>
      </w:r>
    </w:p>
    <w:p>
      <w:pPr>
        <w:ind w:left="3685"/>
        <w:spacing w:before="9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29"/>
        </w:rPr>
        <w:t>(修订)</w:t>
      </w:r>
    </w:p>
    <w:p>
      <w:pPr>
        <w:pStyle w:val="BodyText"/>
        <w:spacing w:line="383" w:lineRule="auto"/>
        <w:rPr/>
      </w:pPr>
      <w:r/>
    </w:p>
    <w:p>
      <w:pPr>
        <w:ind w:right="131" w:firstLine="649"/>
        <w:spacing w:before="107" w:line="315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5"/>
        </w:rPr>
        <w:t>推荐优秀应届本科毕业生免试攻读研究生(以下简称推</w:t>
      </w:r>
      <w:r>
        <w:rPr>
          <w:rFonts w:ascii="FangSong" w:hAnsi="FangSong" w:eastAsia="FangSong" w:cs="FangSong"/>
          <w:sz w:val="33"/>
          <w:szCs w:val="33"/>
          <w:spacing w:val="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5"/>
        </w:rPr>
        <w:t>免)是研究生多元招生体系的重要组成部分，是加强拔尖创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新人才选拔，提高研究生招生质量的重要举措。为保证</w:t>
      </w:r>
      <w:r>
        <w:rPr>
          <w:rFonts w:ascii="FangSong" w:hAnsi="FangSong" w:eastAsia="FangSong" w:cs="FangSong"/>
          <w:sz w:val="33"/>
          <w:szCs w:val="33"/>
          <w:spacing w:val="-12"/>
        </w:rPr>
        <w:t>推免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工作顺利开展，根据教育部《全国普通高等学校推荐优秀应</w:t>
      </w:r>
      <w:r>
        <w:rPr>
          <w:rFonts w:ascii="FangSong" w:hAnsi="FangSong" w:eastAsia="FangSong" w:cs="FangSong"/>
          <w:sz w:val="33"/>
          <w:szCs w:val="33"/>
          <w:spacing w:val="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8"/>
        </w:rPr>
        <w:t>届本科毕业生免试攻读硕士学位研究生工作管理办法(试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5"/>
        </w:rPr>
        <w:t>行)》《教育部办公厅关于进一步规范和加强推荐优秀应届</w:t>
      </w:r>
      <w:r>
        <w:rPr>
          <w:rFonts w:ascii="FangSong" w:hAnsi="FangSong" w:eastAsia="FangSong" w:cs="FangSong"/>
          <w:sz w:val="33"/>
          <w:szCs w:val="33"/>
          <w:spacing w:val="1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本科毕业生免试攻读研究生工作的通知》等相关文件要求，</w:t>
      </w:r>
      <w:r>
        <w:rPr>
          <w:rFonts w:ascii="FangSong" w:hAnsi="FangSong" w:eastAsia="FangSong" w:cs="FangSong"/>
          <w:sz w:val="33"/>
          <w:szCs w:val="33"/>
          <w:spacing w:val="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2"/>
        </w:rPr>
        <w:t>本着公平、公正、公开原则，结合我校实际</w:t>
      </w:r>
      <w:r>
        <w:rPr>
          <w:rFonts w:ascii="FangSong" w:hAnsi="FangSong" w:eastAsia="FangSong" w:cs="FangSong"/>
          <w:sz w:val="33"/>
          <w:szCs w:val="33"/>
          <w:spacing w:val="1"/>
        </w:rPr>
        <w:t>，制定本实施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3"/>
        </w:rPr>
        <w:t>办法。</w:t>
      </w:r>
    </w:p>
    <w:p>
      <w:pPr>
        <w:ind w:left="654"/>
        <w:spacing w:before="94" w:line="222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3"/>
        </w:rPr>
        <w:t>一、组织领导</w:t>
      </w:r>
    </w:p>
    <w:p>
      <w:pPr>
        <w:ind w:right="136" w:firstLine="649"/>
        <w:spacing w:before="192" w:line="305" w:lineRule="auto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660362</wp:posOffset>
            </wp:positionH>
            <wp:positionV relativeFrom="paragraph">
              <wp:posOffset>1711440</wp:posOffset>
            </wp:positionV>
            <wp:extent cx="1219241" cy="1238201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41" cy="1238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-2"/>
        </w:rPr>
        <w:t>(一)学校成立推免工作领导小组，负责集体研究审定学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校推荐办法、推免名额分配方案、推免名单等重要事项。领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导小组组长由校长担任，副组长由分管教学工作、学生工作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和研究生工作的校领导担任，成员包括校纪委、教务处、研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究生院、学工处、校团委、科研处及各学院部门负责人等。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领导小组下设办公室，挂靠教务处，负责推免工作的具体组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2"/>
        </w:rPr>
        <w:t>织和实施。</w:t>
      </w:r>
    </w:p>
    <w:p>
      <w:pPr>
        <w:ind w:left="649"/>
        <w:spacing w:before="201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3"/>
        </w:rPr>
        <w:t>(二)学校成立纪检督察组，负责对推免工作实行全程监督。</w:t>
      </w:r>
    </w:p>
    <w:p>
      <w:pPr>
        <w:ind w:right="136" w:firstLine="649"/>
        <w:spacing w:before="171" w:line="28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(三)各学院成立学院推免工作小组，由学院党政负责人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任组长，分管研究生教育工作、本科教学工作、学生工作的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领导及各硕士点负责人和部分研究生导师代表等为成员，负</w:t>
      </w:r>
    </w:p>
    <w:p>
      <w:pPr>
        <w:spacing w:line="286" w:lineRule="auto"/>
        <w:sectPr>
          <w:footerReference w:type="default" r:id="rId6"/>
          <w:pgSz w:w="11900" w:h="16830"/>
          <w:pgMar w:top="1290" w:right="1785" w:bottom="1316" w:left="1680" w:header="0" w:footer="1002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right="108"/>
        <w:spacing w:before="125" w:line="318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责制定本学院推荐选拔工作实施细则，负责申请推免学生的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推荐资格、综合素质分和业绩的审核工作，审定本学院拟推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免名单。</w:t>
      </w:r>
    </w:p>
    <w:p>
      <w:pPr>
        <w:ind w:left="629"/>
        <w:spacing w:before="13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"/>
        </w:rPr>
        <w:t>二、推荐条件</w:t>
      </w:r>
    </w:p>
    <w:p>
      <w:pPr>
        <w:ind w:right="108" w:firstLine="629"/>
        <w:spacing w:before="179" w:line="319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5"/>
        </w:rPr>
        <w:t>本办法所称“免试”,是指应届本科毕业生不必经过全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国硕士研究生入学统一考试的初试，直接进入复</w:t>
      </w:r>
      <w:r>
        <w:rPr>
          <w:rFonts w:ascii="FangSong" w:hAnsi="FangSong" w:eastAsia="FangSong" w:cs="FangSong"/>
          <w:sz w:val="32"/>
          <w:szCs w:val="32"/>
          <w:spacing w:val="-2"/>
        </w:rPr>
        <w:t>试；本办法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所称“推荐”,是指学校按规定对本校优秀应届本科毕业生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进行遴选，确认其免初试资格并向招生单位推荐。</w:t>
      </w:r>
    </w:p>
    <w:p>
      <w:pPr>
        <w:ind w:left="704"/>
        <w:spacing w:before="14" w:line="224" w:lineRule="auto"/>
        <w:outlineLvl w:val="1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-19"/>
        </w:rPr>
        <w:t>(一)推荐的基本条件</w:t>
      </w:r>
    </w:p>
    <w:p>
      <w:pPr>
        <w:ind w:right="85" w:firstLine="629"/>
        <w:spacing w:before="171" w:line="29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9"/>
        </w:rPr>
        <w:t>1.</w:t>
      </w:r>
      <w:r>
        <w:rPr>
          <w:rFonts w:ascii="Times New Roman" w:hAnsi="Times New Roman" w:eastAsia="Times New Roman" w:cs="Times New Roman"/>
          <w:sz w:val="32"/>
          <w:szCs w:val="32"/>
          <w:spacing w:val="81"/>
          <w:w w:val="10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9"/>
        </w:rPr>
        <w:t>申请人必须是纳入国家普通本科招生计划录取的全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日制应届本科毕业生(不含专升本、定向生、中医5+3、</w:t>
      </w:r>
      <w:r>
        <w:rPr>
          <w:rFonts w:ascii="FangSong" w:hAnsi="FangSong" w:eastAsia="FangSong" w:cs="FangSong"/>
          <w:sz w:val="32"/>
          <w:szCs w:val="32"/>
          <w:spacing w:val="-1"/>
        </w:rPr>
        <w:t>第二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学士学位等)。</w:t>
      </w:r>
    </w:p>
    <w:p>
      <w:pPr>
        <w:ind w:right="93" w:firstLine="629"/>
        <w:spacing w:before="296" w:line="29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3"/>
        </w:rPr>
        <w:t>2.</w:t>
      </w:r>
      <w:r>
        <w:rPr>
          <w:rFonts w:ascii="FangSong" w:hAnsi="FangSong" w:eastAsia="FangSong" w:cs="FangSong"/>
          <w:sz w:val="32"/>
          <w:szCs w:val="32"/>
          <w:spacing w:val="3"/>
        </w:rPr>
        <w:t>申请人具有高尚的爱国主义情操和集体主义精神，共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产主义信念坚定，社会责任感强，遵纪守法，积极向上，身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心健康，遵守学校各项规章制度，品行表现优良，在</w:t>
      </w:r>
      <w:r>
        <w:rPr>
          <w:rFonts w:ascii="FangSong" w:hAnsi="FangSong" w:eastAsia="FangSong" w:cs="FangSong"/>
          <w:sz w:val="32"/>
          <w:szCs w:val="32"/>
          <w:spacing w:val="-2"/>
        </w:rPr>
        <w:t>校期间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无任何违法违纪及其它受处分记录。</w:t>
      </w:r>
    </w:p>
    <w:p>
      <w:pPr>
        <w:ind w:right="94" w:firstLine="629"/>
        <w:spacing w:before="181" w:line="28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7"/>
        </w:rPr>
        <w:t>3.</w:t>
      </w:r>
      <w:r>
        <w:rPr>
          <w:rFonts w:ascii="FangSong" w:hAnsi="FangSong" w:eastAsia="FangSong" w:cs="FangSong"/>
          <w:sz w:val="33"/>
          <w:szCs w:val="33"/>
          <w:spacing w:val="-7"/>
        </w:rPr>
        <w:t>申请人学术研究兴趣浓厚，有较强的创新意识、创新</w:t>
      </w:r>
      <w:r>
        <w:rPr>
          <w:rFonts w:ascii="FangSong" w:hAnsi="FangSong" w:eastAsia="FangSong" w:cs="FangSong"/>
          <w:sz w:val="33"/>
          <w:szCs w:val="33"/>
          <w:spacing w:val="1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能力和专业研究能力；诚实守信，学风端正，无任何考试作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弊和剽窃他人学术成果记录。</w:t>
      </w:r>
    </w:p>
    <w:p>
      <w:pPr>
        <w:ind w:left="629"/>
        <w:spacing w:before="171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"/>
        </w:rPr>
        <w:t>4.</w:t>
      </w:r>
      <w:r>
        <w:rPr>
          <w:rFonts w:ascii="FangSong" w:hAnsi="FangSong" w:eastAsia="FangSong" w:cs="FangSong"/>
          <w:sz w:val="32"/>
          <w:szCs w:val="32"/>
          <w:spacing w:val="1"/>
        </w:rPr>
        <w:t>申请人学业成绩及排名需满足以下条件：</w:t>
      </w:r>
    </w:p>
    <w:p>
      <w:pPr>
        <w:ind w:right="89" w:firstLine="699"/>
        <w:spacing w:before="173" w:line="28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5"/>
        </w:rPr>
        <w:t>(1)已经完成前三年(四年制)或前四年(五</w:t>
      </w:r>
      <w:r>
        <w:rPr>
          <w:rFonts w:ascii="FangSong" w:hAnsi="FangSong" w:eastAsia="FangSong" w:cs="FangSong"/>
          <w:sz w:val="33"/>
          <w:szCs w:val="33"/>
          <w:spacing w:val="-6"/>
        </w:rPr>
        <w:t>年制)的本专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"/>
        </w:rPr>
        <w:t>业培养计划内必修课程，学业成绩在同年级同专业排名前</w:t>
      </w:r>
      <w:r>
        <w:rPr>
          <w:rFonts w:ascii="FangSong" w:hAnsi="FangSong" w:eastAsia="FangSong" w:cs="FangSong"/>
          <w:sz w:val="33"/>
          <w:szCs w:val="33"/>
          <w:spacing w:val="1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5"/>
        </w:rPr>
        <w:t>30%(含)。学业成绩按照必修课程平均学分绩点进行计算。</w:t>
      </w:r>
    </w:p>
    <w:p>
      <w:pPr>
        <w:ind w:left="699"/>
        <w:spacing w:before="184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5"/>
        </w:rPr>
        <w:t>(2)本专业培养计划内必修课程无不及格记录；</w:t>
      </w:r>
    </w:p>
    <w:p>
      <w:pPr>
        <w:spacing w:line="221" w:lineRule="auto"/>
        <w:sectPr>
          <w:footerReference w:type="default" r:id="rId8"/>
          <w:pgSz w:w="11900" w:h="16830"/>
          <w:pgMar w:top="1430" w:right="1785" w:bottom="1294" w:left="1710" w:header="0" w:footer="97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right="160" w:firstLine="669"/>
        <w:spacing w:before="71" w:line="315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1"/>
        </w:rPr>
        <w:t>(3)全国大学英语四级考试成绩425分(含)以上，英语专</w:t>
      </w:r>
      <w:r>
        <w:rPr>
          <w:rFonts w:ascii="FangSong" w:hAnsi="FangSong" w:eastAsia="FangSong" w:cs="FangSong"/>
          <w:sz w:val="33"/>
          <w:szCs w:val="33"/>
          <w:spacing w:val="1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业学生专业英语四级成绩60分(含)以上。</w:t>
      </w:r>
    </w:p>
    <w:p>
      <w:pPr>
        <w:ind w:left="674"/>
        <w:spacing w:before="2" w:line="223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4"/>
        </w:rPr>
        <w:t>(二)特殊学术专长推荐条件</w:t>
      </w:r>
    </w:p>
    <w:p>
      <w:pPr>
        <w:ind w:right="133" w:firstLine="669"/>
        <w:spacing w:before="182" w:line="321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1"/>
        </w:rPr>
        <w:t>学生学业成绩在同年级同专业排名前40%(含),符合推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荐的基本条件，且同时符合以下条件之一者，可作为特殊学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术专长学生参加推荐。</w:t>
      </w:r>
    </w:p>
    <w:p>
      <w:pPr>
        <w:ind w:right="133" w:firstLine="669"/>
        <w:spacing w:before="6" w:line="29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5"/>
        </w:rPr>
        <w:t>1.</w:t>
      </w:r>
      <w:r>
        <w:rPr>
          <w:rFonts w:ascii="FangSong" w:hAnsi="FangSong" w:eastAsia="FangSong" w:cs="FangSong"/>
          <w:sz w:val="32"/>
          <w:szCs w:val="32"/>
          <w:spacing w:val="15"/>
        </w:rPr>
        <w:t>申请人本科阶段以独立作者或第一作者(</w:t>
      </w:r>
      <w:r>
        <w:rPr>
          <w:rFonts w:ascii="FangSong" w:hAnsi="FangSong" w:eastAsia="FangSong" w:cs="FangSong"/>
          <w:sz w:val="32"/>
          <w:szCs w:val="32"/>
          <w:spacing w:val="14"/>
        </w:rPr>
        <w:t>排名第一)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身份在核心期刊(具体见附件1)上正式发表与学业相</w:t>
      </w:r>
      <w:r>
        <w:rPr>
          <w:rFonts w:ascii="FangSong" w:hAnsi="FangSong" w:eastAsia="FangSong" w:cs="FangSong"/>
          <w:sz w:val="32"/>
          <w:szCs w:val="32"/>
          <w:spacing w:val="4"/>
        </w:rPr>
        <w:t>关的科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研论文，且第一署名单位为江西中医药大学，核心期刊目录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见附件1。</w:t>
      </w:r>
    </w:p>
    <w:p>
      <w:pPr>
        <w:ind w:right="112" w:firstLine="659"/>
        <w:spacing w:before="249" w:line="27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14"/>
        </w:rPr>
        <w:t>2.</w:t>
      </w:r>
      <w:r>
        <w:rPr>
          <w:rFonts w:ascii="Times New Roman" w:hAnsi="Times New Roman" w:eastAsia="Times New Roman" w:cs="Times New Roman"/>
          <w:sz w:val="35"/>
          <w:szCs w:val="35"/>
          <w:spacing w:val="-19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14"/>
        </w:rPr>
        <w:t>作为主力成员(团体项目成员排名须为前三)参加教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4"/>
        </w:rPr>
        <w:t>育部认可的与学业相关的国家级科研竞赛(具体见附件1)并</w:t>
      </w:r>
      <w:r>
        <w:rPr>
          <w:rFonts w:ascii="FangSong" w:hAnsi="FangSong" w:eastAsia="FangSong" w:cs="FangSong"/>
          <w:sz w:val="35"/>
          <w:szCs w:val="35"/>
          <w:spacing w:val="1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7"/>
        </w:rPr>
        <w:t>获得三等奖(铜奖)以上奖励。</w:t>
      </w:r>
    </w:p>
    <w:p>
      <w:pPr>
        <w:ind w:right="139" w:firstLine="669"/>
        <w:spacing w:before="298" w:line="324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学生与直系亲属或学历、职称、职务明显高于本人者合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作的科研成果、竞赛奖项等仅作为参考，不作为特殊学</w:t>
      </w:r>
      <w:r>
        <w:rPr>
          <w:rFonts w:ascii="FangSong" w:hAnsi="FangSong" w:eastAsia="FangSong" w:cs="FangSong"/>
          <w:sz w:val="32"/>
          <w:szCs w:val="32"/>
          <w:spacing w:val="-2"/>
        </w:rPr>
        <w:t>术专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长推荐依据，同等条件下可优先考虑。</w:t>
      </w:r>
    </w:p>
    <w:p>
      <w:pPr>
        <w:ind w:left="669"/>
        <w:spacing w:before="105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三、推荐名额</w:t>
      </w:r>
    </w:p>
    <w:p>
      <w:pPr>
        <w:ind w:right="172" w:firstLine="669"/>
        <w:spacing w:before="175" w:line="27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(一)学校推荐总人数与教育部下达名额相同，即推荐比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例为1:1。</w:t>
      </w:r>
    </w:p>
    <w:p>
      <w:pPr>
        <w:ind w:right="156" w:firstLine="669"/>
        <w:spacing w:before="148" w:line="295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2"/>
        </w:rPr>
        <w:t>(二)坚持服务国家战略，选拔培养拔尖创新人才，科学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分配推荐名额，优先向双一流建设学科、基础学科、交叉学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科、前沿学科等国家战略急需的学科，以及重大科</w:t>
      </w:r>
      <w:r>
        <w:rPr>
          <w:rFonts w:ascii="FangSong" w:hAnsi="FangSong" w:eastAsia="FangSong" w:cs="FangSong"/>
          <w:sz w:val="33"/>
          <w:szCs w:val="33"/>
          <w:spacing w:val="-12"/>
        </w:rPr>
        <w:t>技创新平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台建设，重大科研攻关任务，重点人才培养改革等对应的学</w:t>
      </w:r>
      <w:r>
        <w:rPr>
          <w:rFonts w:ascii="FangSong" w:hAnsi="FangSong" w:eastAsia="FangSong" w:cs="FangSong"/>
          <w:sz w:val="33"/>
          <w:szCs w:val="33"/>
          <w:spacing w:val="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29"/>
        </w:rPr>
        <w:t>科进行倾斜，相关名额经推免领导小组审议后确定。</w:t>
      </w:r>
    </w:p>
    <w:p>
      <w:pPr>
        <w:spacing w:line="295" w:lineRule="auto"/>
        <w:sectPr>
          <w:footerReference w:type="default" r:id="rId9"/>
          <w:pgSz w:w="11900" w:h="16830"/>
          <w:pgMar w:top="1430" w:right="1785" w:bottom="1371" w:left="1660" w:header="0" w:footer="1019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ind w:right="52" w:firstLine="649"/>
        <w:spacing w:before="137" w:line="319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4"/>
        </w:rPr>
        <w:t>其他名额根据各学院本科毕业生人数占全校毕业生总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人数的比例分配，医药类专业所在学院的权重系数原则上为</w:t>
      </w:r>
      <w:r>
        <w:rPr>
          <w:rFonts w:ascii="FangSong" w:hAnsi="FangSong" w:eastAsia="FangSong" w:cs="FangSong"/>
          <w:sz w:val="33"/>
          <w:szCs w:val="33"/>
          <w:spacing w:val="1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5"/>
        </w:rPr>
        <w:t>1.2,非医药类专业所在学院的权重系数原则上为0.8。学院</w:t>
      </w:r>
      <w:r>
        <w:rPr>
          <w:rFonts w:ascii="FangSong" w:hAnsi="FangSong" w:eastAsia="FangSong" w:cs="FangSong"/>
          <w:sz w:val="33"/>
          <w:szCs w:val="33"/>
          <w:spacing w:val="15"/>
        </w:rPr>
        <w:t xml:space="preserve"> </w:t>
      </w:r>
      <w:r>
        <w:rPr>
          <w:rFonts w:ascii="FangSong" w:hAnsi="FangSong" w:eastAsia="FangSong" w:cs="FangSong"/>
          <w:sz w:val="33"/>
          <w:szCs w:val="33"/>
        </w:rPr>
        <w:t>推荐名额=(学院预计本科毕业生数*权重系数/</w:t>
      </w:r>
      <w:r>
        <w:rPr>
          <w:rFonts w:ascii="FangSong" w:hAnsi="FangSong" w:eastAsia="FangSong" w:cs="FangSong"/>
          <w:sz w:val="33"/>
          <w:szCs w:val="33"/>
          <w:spacing w:val="-102"/>
        </w:rPr>
        <w:t xml:space="preserve"> </w:t>
      </w:r>
      <w:r>
        <w:rPr>
          <w:rFonts w:ascii="FangSong" w:hAnsi="FangSong" w:eastAsia="FangSong" w:cs="FangSong"/>
          <w:sz w:val="33"/>
          <w:szCs w:val="33"/>
        </w:rPr>
        <w:t>∑各学院预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9"/>
        </w:rPr>
        <w:t>计本科毕业生数*权重系数)×学校总计划名额(扣</w:t>
      </w:r>
      <w:r>
        <w:rPr>
          <w:rFonts w:ascii="FangSong" w:hAnsi="FangSong" w:eastAsia="FangSong" w:cs="FangSong"/>
          <w:sz w:val="33"/>
          <w:szCs w:val="33"/>
          <w:spacing w:val="8"/>
        </w:rPr>
        <w:t>除优先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4"/>
        </w:rPr>
        <w:t>名额后的数量)。计算结果不足1的按照1计算；各学院取整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数位后，总计数量与总计划名额不等，按照小数点后数字从</w:t>
      </w:r>
      <w:r>
        <w:rPr>
          <w:rFonts w:ascii="FangSong" w:hAnsi="FangSong" w:eastAsia="FangSong" w:cs="FangSong"/>
          <w:sz w:val="33"/>
          <w:szCs w:val="33"/>
          <w:spacing w:val="1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4"/>
        </w:rPr>
        <w:t>高到低顺序进行排序(小数点后数值一致的情况下，优先整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0"/>
        </w:rPr>
        <w:t>数位数值小的；如整数位也相同，优先国家级</w:t>
      </w:r>
      <w:r>
        <w:rPr>
          <w:rFonts w:ascii="FangSong" w:hAnsi="FangSong" w:eastAsia="FangSong" w:cs="FangSong"/>
          <w:sz w:val="33"/>
          <w:szCs w:val="33"/>
          <w:spacing w:val="-11"/>
        </w:rPr>
        <w:t>、省级一流专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4"/>
        </w:rPr>
        <w:t>业较多的学院),排名靠前的加1个整数名额，直至达到总计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划数。特殊学术专长推免名额不单设计划。</w:t>
      </w:r>
    </w:p>
    <w:p>
      <w:pPr>
        <w:ind w:left="649"/>
        <w:spacing w:before="80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四、推荐程序及要求</w:t>
      </w:r>
    </w:p>
    <w:p>
      <w:pPr>
        <w:ind w:left="654"/>
        <w:spacing w:before="188" w:line="224" w:lineRule="auto"/>
        <w:outlineLvl w:val="1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-20"/>
        </w:rPr>
        <w:t>(一)学校通知</w:t>
      </w:r>
    </w:p>
    <w:p>
      <w:pPr>
        <w:ind w:right="211" w:firstLine="649"/>
        <w:spacing w:before="181" w:line="33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</w:rPr>
        <w:t>学校每年8月份左右发布推免工作通知，组织学院开展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推免遴选工作。</w:t>
      </w:r>
    </w:p>
    <w:p>
      <w:pPr>
        <w:ind w:left="654"/>
        <w:spacing w:line="224" w:lineRule="auto"/>
        <w:outlineLvl w:val="1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-19"/>
        </w:rPr>
        <w:t>(二)学生申请</w:t>
      </w:r>
    </w:p>
    <w:p>
      <w:pPr>
        <w:ind w:right="61" w:firstLine="649"/>
        <w:spacing w:before="172" w:line="320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1"/>
        </w:rPr>
        <w:t>符合申请条件的学生填写《江西中医药大学推荐优秀应</w:t>
      </w:r>
      <w:r>
        <w:rPr>
          <w:rFonts w:ascii="FangSong" w:hAnsi="FangSong" w:eastAsia="FangSong" w:cs="FangSong"/>
          <w:sz w:val="33"/>
          <w:szCs w:val="33"/>
          <w:spacing w:val="1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4"/>
        </w:rPr>
        <w:t>届本科毕业生免试攻读硕士学位研究生资格申请表》,同所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0"/>
        </w:rPr>
        <w:t>需证明材料原件一并送交本人所在学院。申请特殊学术专长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学生填写《江西中医药大学推荐特殊学术专长优秀应届本科</w:t>
      </w:r>
      <w:r>
        <w:rPr>
          <w:rFonts w:ascii="FangSong" w:hAnsi="FangSong" w:eastAsia="FangSong" w:cs="FangSong"/>
          <w:sz w:val="33"/>
          <w:szCs w:val="33"/>
          <w:spacing w:val="1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5"/>
        </w:rPr>
        <w:t>毕业生免试攻读硕士学位研究生资格申请表》,需经三名以</w:t>
      </w:r>
      <w:r>
        <w:rPr>
          <w:rFonts w:ascii="FangSong" w:hAnsi="FangSong" w:eastAsia="FangSong" w:cs="FangSong"/>
          <w:sz w:val="33"/>
          <w:szCs w:val="33"/>
          <w:spacing w:val="1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0"/>
        </w:rPr>
        <w:t>上本校本专业教授联名推荐，有关说明材料</w:t>
      </w:r>
      <w:r>
        <w:rPr>
          <w:rFonts w:ascii="FangSong" w:hAnsi="FangSong" w:eastAsia="FangSong" w:cs="FangSong"/>
          <w:sz w:val="33"/>
          <w:szCs w:val="33"/>
          <w:spacing w:val="-11"/>
        </w:rPr>
        <w:t>和教授推荐信要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进行公示，公示期不少于3天。</w:t>
      </w:r>
    </w:p>
    <w:p>
      <w:pPr>
        <w:spacing w:line="320" w:lineRule="auto"/>
        <w:sectPr>
          <w:footerReference w:type="default" r:id="rId10"/>
          <w:pgSz w:w="11900" w:h="16830"/>
          <w:pgMar w:top="1430" w:right="1785" w:bottom="1306" w:left="1730" w:header="0" w:footer="994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ind w:right="172" w:firstLine="669"/>
        <w:spacing w:before="68" w:line="317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3"/>
        </w:rPr>
        <w:t>申请者应提供真实、准确和符合要求材料，对弄虚作假</w:t>
      </w:r>
      <w:r>
        <w:rPr>
          <w:rFonts w:ascii="FangSong" w:hAnsi="FangSong" w:eastAsia="FangSong" w:cs="FangSong"/>
          <w:sz w:val="33"/>
          <w:szCs w:val="33"/>
          <w:spacing w:val="1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3"/>
        </w:rPr>
        <w:t>学生一经发现直接取消推免资格，按学校相关规定严肃</w:t>
      </w:r>
      <w:r>
        <w:rPr>
          <w:rFonts w:ascii="FangSong" w:hAnsi="FangSong" w:eastAsia="FangSong" w:cs="FangSong"/>
          <w:sz w:val="33"/>
          <w:szCs w:val="33"/>
          <w:spacing w:val="-24"/>
        </w:rPr>
        <w:t>处理。</w:t>
      </w:r>
    </w:p>
    <w:p>
      <w:pPr>
        <w:ind w:left="674"/>
        <w:spacing w:before="1" w:line="222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4"/>
        </w:rPr>
        <w:t>(三)学院初审</w:t>
      </w:r>
    </w:p>
    <w:p>
      <w:pPr>
        <w:ind w:right="166" w:firstLine="669"/>
        <w:spacing w:before="191" w:line="3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各学院根据推免条件对申请学生进行资格审</w:t>
      </w:r>
      <w:r>
        <w:rPr>
          <w:rFonts w:ascii="FangSong" w:hAnsi="FangSong" w:eastAsia="FangSong" w:cs="FangSong"/>
          <w:sz w:val="32"/>
          <w:szCs w:val="32"/>
          <w:spacing w:val="-3"/>
        </w:rPr>
        <w:t>查，确定符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合推免条件的人员名单并公示，公示期不少于</w:t>
      </w:r>
      <w:r>
        <w:rPr>
          <w:rFonts w:ascii="FangSong" w:hAnsi="FangSong" w:eastAsia="FangSong" w:cs="FangSong"/>
          <w:sz w:val="32"/>
          <w:szCs w:val="32"/>
          <w:spacing w:val="-3"/>
        </w:rPr>
        <w:t>3天。</w:t>
      </w:r>
    </w:p>
    <w:p>
      <w:pPr>
        <w:ind w:right="136" w:firstLine="669"/>
        <w:spacing w:before="6" w:line="31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5"/>
        </w:rPr>
        <w:t>各学院应组织专家审核小组(专家组成员应具有相关学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"/>
        </w:rPr>
        <w:t>科副教授及以上职称，</w:t>
      </w:r>
      <w:r>
        <w:rPr>
          <w:rFonts w:ascii="FangSong" w:hAnsi="FangSong" w:eastAsia="FangSong" w:cs="FangSong"/>
          <w:sz w:val="32"/>
          <w:szCs w:val="32"/>
          <w:spacing w:val="-9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"/>
        </w:rPr>
        <w:t>一般不少于5人),对</w:t>
      </w:r>
      <w:r>
        <w:rPr>
          <w:rFonts w:ascii="FangSong" w:hAnsi="FangSong" w:eastAsia="FangSong" w:cs="FangSong"/>
          <w:sz w:val="32"/>
          <w:szCs w:val="32"/>
          <w:spacing w:val="2"/>
        </w:rPr>
        <w:t>申请学术活动加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分(科研成果、竞赛获奖)的推免生在学校一定范围内进行现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场公开答辩。对学生提交的多项科研成果(论文类、知识产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权类)实行代表作评价，评价重点聚焦到创新质量和个人贡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献。专家审核小组及每位成员都要给出明确审核鉴定意见，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并签字存档，以排除抄袭、造假、冒名及有名无实等情况。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答辩全程要录音录像，答辩结果要公开公示。通过审核鉴定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或答辩的学生综合素质分项目，须在学院网站上予以公示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(加分依据、加分值),并告知学生查询途径</w:t>
      </w:r>
      <w:r>
        <w:rPr>
          <w:rFonts w:ascii="FangSong" w:hAnsi="FangSong" w:eastAsia="FangSong" w:cs="FangSong"/>
          <w:sz w:val="32"/>
          <w:szCs w:val="32"/>
          <w:spacing w:val="3"/>
        </w:rPr>
        <w:t>。未通过审核鉴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定或答辩的，不得纳入推免遴选综合评价成绩计算体</w:t>
      </w:r>
      <w:r>
        <w:rPr>
          <w:rFonts w:ascii="FangSong" w:hAnsi="FangSong" w:eastAsia="FangSong" w:cs="FangSong"/>
          <w:sz w:val="32"/>
          <w:szCs w:val="32"/>
          <w:spacing w:val="-2"/>
        </w:rPr>
        <w:t>系。所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有综合素质分涉及的奖项、课题、科研成果、荣誉表彰等加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分项，需由相关职能部门出具真实性证明，该证明应有审核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人、审核部门领导签字和该部门公章。</w:t>
      </w:r>
    </w:p>
    <w:p>
      <w:pPr>
        <w:ind w:left="824"/>
        <w:spacing w:before="217" w:line="223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27"/>
        </w:rPr>
        <w:t>(四)综合测评</w:t>
      </w:r>
    </w:p>
    <w:p>
      <w:pPr>
        <w:ind w:right="137" w:firstLine="669"/>
        <w:spacing w:before="181" w:line="324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各学院对资格审查通过的申请者进行综合测评，按照学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校下达的推荐指标确定拟推荐名单。综合测评分数相同</w:t>
      </w:r>
      <w:r>
        <w:rPr>
          <w:rFonts w:ascii="FangSong" w:hAnsi="FangSong" w:eastAsia="FangSong" w:cs="FangSong"/>
          <w:sz w:val="32"/>
          <w:szCs w:val="32"/>
          <w:spacing w:val="-1"/>
        </w:rPr>
        <w:t>的，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按照学业成绩平均绩点从高到低排序，仍然一致的按照必修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专业课平均绩点从高到低排序。</w:t>
      </w:r>
    </w:p>
    <w:p>
      <w:pPr>
        <w:spacing w:line="324" w:lineRule="auto"/>
        <w:sectPr>
          <w:footerReference w:type="default" r:id="rId11"/>
          <w:pgSz w:w="11900" w:h="16830"/>
          <w:pgMar w:top="1419" w:right="1785" w:bottom="1364" w:left="1650" w:header="0" w:footer="104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659"/>
        <w:spacing w:before="110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"/>
        </w:rPr>
        <w:t>综合测评成绩=学业成绩平均绩点十综合素质</w:t>
      </w:r>
      <w:r>
        <w:rPr>
          <w:rFonts w:ascii="SimHei" w:hAnsi="SimHei" w:eastAsia="SimHei" w:cs="SimHei"/>
          <w:sz w:val="32"/>
          <w:szCs w:val="32"/>
          <w:spacing w:val="1"/>
        </w:rPr>
        <w:t>分/25</w:t>
      </w:r>
    </w:p>
    <w:p>
      <w:pPr>
        <w:ind w:right="98" w:firstLine="659"/>
        <w:spacing w:before="170" w:line="309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1"/>
        </w:rPr>
        <w:t>1. </w:t>
      </w:r>
      <w:r>
        <w:rPr>
          <w:rFonts w:ascii="FangSong" w:hAnsi="FangSong" w:eastAsia="FangSong" w:cs="FangSong"/>
          <w:sz w:val="33"/>
          <w:szCs w:val="33"/>
          <w:spacing w:val="-11"/>
        </w:rPr>
        <w:t>学业成绩：按照必修课程平均绩点计算。在计算课程</w:t>
      </w:r>
      <w:r>
        <w:rPr>
          <w:rFonts w:ascii="FangSong" w:hAnsi="FangSong" w:eastAsia="FangSong" w:cs="FangSong"/>
          <w:sz w:val="33"/>
          <w:szCs w:val="33"/>
          <w:spacing w:val="1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绩点时，课程成绩取首次考试分数，平均绩点保留小数点后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0"/>
        </w:rPr>
        <w:t>3位。</w:t>
      </w:r>
    </w:p>
    <w:p>
      <w:pPr>
        <w:ind w:left="639"/>
        <w:spacing w:before="3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6"/>
        </w:rPr>
        <w:t>平均学分绩点=</w:t>
      </w:r>
      <w:r>
        <w:rPr>
          <w:rFonts w:ascii="FangSong" w:hAnsi="FangSong" w:eastAsia="FangSong" w:cs="FangSong"/>
          <w:sz w:val="32"/>
          <w:szCs w:val="32"/>
          <w:spacing w:val="-9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∑</w:t>
      </w:r>
      <w:r>
        <w:rPr>
          <w:rFonts w:ascii="FangSong" w:hAnsi="FangSong" w:eastAsia="FangSong" w:cs="FangSong"/>
          <w:sz w:val="32"/>
          <w:szCs w:val="32"/>
          <w:spacing w:val="-9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(课程学分数×绩点数)/</w:t>
      </w:r>
      <w:r>
        <w:rPr>
          <w:rFonts w:ascii="FangSong" w:hAnsi="FangSong" w:eastAsia="FangSong" w:cs="FangSong"/>
          <w:sz w:val="32"/>
          <w:szCs w:val="32"/>
          <w:spacing w:val="-1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∑课程学分数</w:t>
      </w:r>
    </w:p>
    <w:p>
      <w:pPr>
        <w:ind w:firstLine="659"/>
        <w:spacing w:before="171" w:line="319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2. </w:t>
      </w:r>
      <w:r>
        <w:rPr>
          <w:rFonts w:ascii="FangSong" w:hAnsi="FangSong" w:eastAsia="FangSong" w:cs="FangSong"/>
          <w:sz w:val="32"/>
          <w:szCs w:val="32"/>
        </w:rPr>
        <w:t>综合素质分：包括学科竞赛获奖及科技成果、荣誉表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彰类两大类，合计加分累计不超过10分，具体标准详见《江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西中医药大学推免生综合素质项目加分计算办法》(附件2)。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学科竞赛加分项目仅限于《江西中医药大学学生校外竞赛奖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励办法》指定竞赛目录中的</w:t>
      </w: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>A</w:t>
      </w:r>
      <w:r>
        <w:rPr>
          <w:rFonts w:ascii="FangSong" w:hAnsi="FangSong" w:eastAsia="FangSong" w:cs="FangSong"/>
          <w:sz w:val="32"/>
          <w:szCs w:val="32"/>
          <w:spacing w:val="-6"/>
        </w:rPr>
        <w:t>类、</w:t>
      </w: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>B</w:t>
      </w:r>
      <w:r>
        <w:rPr>
          <w:rFonts w:ascii="FangSong" w:hAnsi="FangSong" w:eastAsia="FangSong" w:cs="FangSong"/>
          <w:sz w:val="32"/>
          <w:szCs w:val="32"/>
          <w:spacing w:val="-6"/>
        </w:rPr>
        <w:t>类，该目录结合实际动态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更新，自学生入学后，在校期间新增的</w:t>
      </w: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>A</w:t>
      </w:r>
      <w:r>
        <w:rPr>
          <w:rFonts w:ascii="FangSong" w:hAnsi="FangSong" w:eastAsia="FangSong" w:cs="FangSong"/>
          <w:sz w:val="32"/>
          <w:szCs w:val="32"/>
          <w:spacing w:val="-6"/>
        </w:rPr>
        <w:t>类、</w:t>
      </w: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>B</w:t>
      </w:r>
      <w:r>
        <w:rPr>
          <w:rFonts w:ascii="FangSong" w:hAnsi="FangSong" w:eastAsia="FangSong" w:cs="FangSong"/>
          <w:sz w:val="32"/>
          <w:szCs w:val="32"/>
          <w:spacing w:val="-6"/>
        </w:rPr>
        <w:t>类项目，均纳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入学生推免当年的计分体系。</w:t>
      </w:r>
    </w:p>
    <w:p>
      <w:pPr>
        <w:ind w:left="664"/>
        <w:spacing w:before="46" w:line="223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4"/>
        </w:rPr>
        <w:t>(五)学校审定</w:t>
      </w:r>
    </w:p>
    <w:p>
      <w:pPr>
        <w:ind w:right="117" w:firstLine="659"/>
        <w:spacing w:before="169" w:line="313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2"/>
        </w:rPr>
        <w:t>推免工作领导小组办公室汇总各学院上报的推荐名单，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对材料的完整性、工作流程进行复核，之后将名单</w:t>
      </w:r>
      <w:r>
        <w:rPr>
          <w:rFonts w:ascii="FangSong" w:hAnsi="FangSong" w:eastAsia="FangSong" w:cs="FangSong"/>
          <w:sz w:val="33"/>
          <w:szCs w:val="33"/>
          <w:spacing w:val="-12"/>
        </w:rPr>
        <w:t>提交学校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推免工作领导小组进行审议。</w:t>
      </w:r>
    </w:p>
    <w:p>
      <w:pPr>
        <w:ind w:left="664"/>
        <w:spacing w:line="230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7"/>
        </w:rPr>
        <w:t>(六)公示</w:t>
      </w:r>
    </w:p>
    <w:p>
      <w:pPr>
        <w:ind w:left="659"/>
        <w:spacing w:before="177" w:line="21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1"/>
        </w:rPr>
        <w:t>推免结果在网上公示，公示时间按照教育部要求执行。</w:t>
      </w:r>
    </w:p>
    <w:p>
      <w:pPr>
        <w:ind w:left="659"/>
        <w:spacing w:before="182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五、管理与监督</w:t>
      </w:r>
    </w:p>
    <w:p>
      <w:pPr>
        <w:ind w:right="113" w:firstLine="664"/>
        <w:spacing w:before="179" w:line="318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4"/>
        </w:rPr>
        <w:t>(一)加强组织领导。</w:t>
      </w:r>
      <w:r>
        <w:rPr>
          <w:rFonts w:ascii="FangSong" w:hAnsi="FangSong" w:eastAsia="FangSong" w:cs="FangSong"/>
          <w:sz w:val="32"/>
          <w:szCs w:val="32"/>
          <w:spacing w:val="-4"/>
        </w:rPr>
        <w:t>推荐学院应加强管理，制定学院推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免细则，完善监督制度，党政主要负责同志是第一责任人，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分管责任同志是直接责任人，主要负责同志要亲自把关。涉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及推荐工作的原则、办法、程序、拟推荐名单等重要事项均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应经过学院推免工作小组集体研究，集体决策，上交学校材</w:t>
      </w:r>
    </w:p>
    <w:p>
      <w:pPr>
        <w:spacing w:line="318" w:lineRule="auto"/>
        <w:sectPr>
          <w:footerReference w:type="default" r:id="rId12"/>
          <w:pgSz w:w="11900" w:h="16830"/>
          <w:pgMar w:top="1430" w:right="1777" w:bottom="1294" w:left="1710" w:header="0" w:footer="97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right="142"/>
        <w:spacing w:before="68" w:line="31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1"/>
        </w:rPr>
        <w:t>料由学院党政主要负责人及分管领导复核签字后，方视为有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效材料。纪检监察部门对推免工作实行全程监督。</w:t>
      </w:r>
    </w:p>
    <w:p>
      <w:pPr>
        <w:ind w:right="120" w:firstLine="714"/>
        <w:spacing w:before="4" w:line="29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5"/>
        </w:rPr>
        <w:t>(二)充分保障学生自主报考。</w:t>
      </w:r>
      <w:r>
        <w:rPr>
          <w:rFonts w:ascii="FangSong" w:hAnsi="FangSong" w:eastAsia="FangSong" w:cs="FangSong"/>
          <w:sz w:val="32"/>
          <w:szCs w:val="32"/>
          <w:spacing w:val="-5"/>
        </w:rPr>
        <w:t>学院不得将报考本校研究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生作为推免的限制条件，也不得以其他任何形式限制推免生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自主报考。</w:t>
      </w:r>
    </w:p>
    <w:p>
      <w:pPr>
        <w:ind w:right="131" w:firstLine="714"/>
        <w:spacing w:before="166" w:line="30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6"/>
        </w:rPr>
        <w:t>(三)充分保障学生申诉渠道畅通。</w:t>
      </w:r>
      <w:r>
        <w:rPr>
          <w:rFonts w:ascii="FangSong" w:hAnsi="FangSong" w:eastAsia="FangSong" w:cs="FangSong"/>
          <w:sz w:val="32"/>
          <w:szCs w:val="32"/>
          <w:spacing w:val="-6"/>
        </w:rPr>
        <w:t>学院应将推免政策规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定、申请资格、申诉渠道等进行公开。学生对推免工</w:t>
      </w:r>
      <w:r>
        <w:rPr>
          <w:rFonts w:ascii="FangSong" w:hAnsi="FangSong" w:eastAsia="FangSong" w:cs="FangSong"/>
          <w:sz w:val="32"/>
          <w:szCs w:val="32"/>
          <w:spacing w:val="-2"/>
        </w:rPr>
        <w:t>作的意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见建议，应先向学院推免工作小组反映。学生对学院的处理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2"/>
        </w:rPr>
        <w:t>意见不接受的，可向学校推免生工作领导小组小组办公室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反映。</w:t>
      </w:r>
    </w:p>
    <w:p>
      <w:pPr>
        <w:ind w:right="111" w:firstLine="714"/>
        <w:spacing w:before="182" w:line="30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4"/>
        </w:rPr>
        <w:t>(四)严格执行回避制度。</w:t>
      </w:r>
      <w:r>
        <w:rPr>
          <w:rFonts w:ascii="FangSong" w:hAnsi="FangSong" w:eastAsia="FangSong" w:cs="FangSong"/>
          <w:sz w:val="32"/>
          <w:szCs w:val="32"/>
          <w:spacing w:val="-4"/>
        </w:rPr>
        <w:t>推免工作人员有直系亲</w:t>
      </w:r>
      <w:r>
        <w:rPr>
          <w:rFonts w:ascii="FangSong" w:hAnsi="FangSong" w:eastAsia="FangSong" w:cs="FangSong"/>
          <w:sz w:val="32"/>
          <w:szCs w:val="32"/>
          <w:spacing w:val="-5"/>
        </w:rPr>
        <w:t>属或利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益相关人员报名，应主动申请回避，有非直系亲属等报名参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加推免的要主动报备。相关学生也应主动向学院报备。未按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规定报备、回避的推免相关工作人员，学校将严肃处理；未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按规定报备且影响推免过程和结果公平公正的学生，取消其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1"/>
        </w:rPr>
        <w:t>推免资格。</w:t>
      </w:r>
    </w:p>
    <w:p>
      <w:pPr>
        <w:ind w:right="45" w:firstLine="714"/>
        <w:spacing w:before="162" w:line="30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5"/>
        </w:rPr>
        <w:t>(五)严处违规行为。</w:t>
      </w:r>
      <w:r>
        <w:rPr>
          <w:rFonts w:ascii="FangSong" w:hAnsi="FangSong" w:eastAsia="FangSong" w:cs="FangSong"/>
          <w:sz w:val="32"/>
          <w:szCs w:val="32"/>
          <w:spacing w:val="-5"/>
        </w:rPr>
        <w:t>对在推免过程中弄虚作假，有论文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抄袭、虚报获奖或科研成果等学术不端行为或者有其他严重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影响推免过程和结果的学生，一经查实，取消推免资格。推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免相关工作人员未严格履行工作职责，违反推免推荐政策规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定的，学校依规依纪严肃处理。造成严重后果和恶劣影响的，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对有关责任人实行问责。</w:t>
      </w:r>
    </w:p>
    <w:p>
      <w:pPr>
        <w:ind w:left="649"/>
        <w:spacing w:before="175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六、</w:t>
      </w:r>
      <w:r>
        <w:rPr>
          <w:rFonts w:ascii="SimHei" w:hAnsi="SimHei" w:eastAsia="SimHei" w:cs="SimHei"/>
          <w:sz w:val="31"/>
          <w:szCs w:val="31"/>
          <w:b/>
          <w:bCs/>
          <w:spacing w:val="7"/>
        </w:rPr>
        <w:t>附则</w:t>
      </w:r>
    </w:p>
    <w:p>
      <w:pPr>
        <w:spacing w:line="222" w:lineRule="auto"/>
        <w:sectPr>
          <w:footerReference w:type="default" r:id="rId13"/>
          <w:pgSz w:w="11900" w:h="16830"/>
          <w:pgMar w:top="1419" w:right="1785" w:bottom="1363" w:left="1670" w:header="0" w:footer="1026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right="65" w:firstLine="629"/>
        <w:spacing w:before="110" w:line="293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2"/>
        </w:rPr>
        <w:t>(一)教育部建立“全国推荐优秀应届本科毕业生免</w:t>
      </w:r>
      <w:r>
        <w:rPr>
          <w:rFonts w:ascii="FangSong" w:hAnsi="FangSong" w:eastAsia="FangSong" w:cs="FangSong"/>
          <w:sz w:val="33"/>
          <w:szCs w:val="33"/>
          <w:spacing w:val="-13"/>
        </w:rPr>
        <w:t>试攻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5"/>
        </w:rPr>
        <w:t>读研究生信息公开暨管理服务系统”(以下简称“推免服务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系统”,网址：</w:t>
      </w:r>
      <w:hyperlink w:history="true" r:id="rId15">
        <w:r>
          <w:rPr>
            <w:rFonts w:ascii="Times New Roman" w:hAnsi="Times New Roman" w:eastAsia="Times New Roman" w:cs="Times New Roman"/>
            <w:sz w:val="33"/>
            <w:szCs w:val="33"/>
            <w:spacing w:val="-6"/>
          </w:rPr>
          <w:t>http://yz.chsi.co</w:t>
        </w:r>
        <w:r>
          <w:rPr>
            <w:rFonts w:ascii="Times New Roman" w:hAnsi="Times New Roman" w:eastAsia="Times New Roman" w:cs="Times New Roman"/>
            <w:sz w:val="33"/>
            <w:szCs w:val="33"/>
            <w:spacing w:val="-7"/>
          </w:rPr>
          <w:t>m.cn/tm</w:t>
        </w:r>
      </w:hyperlink>
      <w:r>
        <w:rPr>
          <w:rFonts w:ascii="Times New Roman" w:hAnsi="Times New Roman" w:eastAsia="Times New Roman" w:cs="Times New Roman"/>
          <w:sz w:val="33"/>
          <w:szCs w:val="33"/>
          <w:spacing w:val="-7"/>
        </w:rPr>
        <w:t>),</w:t>
      </w:r>
      <w:r>
        <w:rPr>
          <w:rFonts w:ascii="Times New Roman" w:hAnsi="Times New Roman" w:eastAsia="Times New Roman" w:cs="Times New Roman"/>
          <w:sz w:val="33"/>
          <w:szCs w:val="33"/>
          <w:spacing w:val="-1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7"/>
        </w:rPr>
        <w:t>作为推免工作统一的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2"/>
        </w:rPr>
        <w:t>信息备案公开平台和网上报考录取系统。推免资格审核确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认、报考、录取以及备案公开等相关工作均通过“推免服务</w:t>
      </w:r>
      <w:r>
        <w:rPr>
          <w:rFonts w:ascii="FangSong" w:hAnsi="FangSong" w:eastAsia="FangSong" w:cs="FangSong"/>
          <w:sz w:val="33"/>
          <w:szCs w:val="33"/>
          <w:spacing w:val="1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6"/>
        </w:rPr>
        <w:t>系统”进行。</w:t>
      </w:r>
    </w:p>
    <w:p>
      <w:pPr>
        <w:ind w:right="132" w:firstLine="629"/>
        <w:spacing w:before="325" w:line="27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(二)获推免的学生出现以下情况之一者，学校将取消推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8"/>
        </w:rPr>
        <w:t>荐资格：</w:t>
      </w:r>
    </w:p>
    <w:p>
      <w:pPr>
        <w:ind w:left="629"/>
        <w:spacing w:before="162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1. </w:t>
      </w:r>
      <w:r>
        <w:rPr>
          <w:rFonts w:ascii="FangSong" w:hAnsi="FangSong" w:eastAsia="FangSong" w:cs="FangSong"/>
          <w:sz w:val="32"/>
          <w:szCs w:val="32"/>
          <w:spacing w:val="-3"/>
        </w:rPr>
        <w:t>后续必修课程有一门及以上不及格者；</w:t>
      </w:r>
    </w:p>
    <w:p>
      <w:pPr>
        <w:ind w:left="619"/>
        <w:spacing w:before="187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2. </w:t>
      </w:r>
      <w:r>
        <w:rPr>
          <w:rFonts w:ascii="FangSong" w:hAnsi="FangSong" w:eastAsia="FangSong" w:cs="FangSong"/>
          <w:sz w:val="32"/>
          <w:szCs w:val="32"/>
          <w:spacing w:val="-4"/>
        </w:rPr>
        <w:t>有违法违纪受处分记录者；</w:t>
      </w:r>
    </w:p>
    <w:p>
      <w:pPr>
        <w:ind w:left="629"/>
        <w:spacing w:before="14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23"/>
        </w:rPr>
        <w:t>3.</w:t>
      </w:r>
      <w:r>
        <w:rPr>
          <w:rFonts w:ascii="FangSong" w:hAnsi="FangSong" w:eastAsia="FangSong" w:cs="FangSong"/>
          <w:sz w:val="35"/>
          <w:szCs w:val="35"/>
          <w:spacing w:val="-23"/>
        </w:rPr>
        <w:t>未获得学士学位者；</w:t>
      </w:r>
    </w:p>
    <w:p>
      <w:pPr>
        <w:ind w:left="629"/>
        <w:spacing w:before="137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23"/>
        </w:rPr>
        <w:t>4.</w:t>
      </w:r>
      <w:r>
        <w:rPr>
          <w:rFonts w:ascii="FangSong" w:hAnsi="FangSong" w:eastAsia="FangSong" w:cs="FangSong"/>
          <w:sz w:val="35"/>
          <w:szCs w:val="35"/>
          <w:spacing w:val="-23"/>
        </w:rPr>
        <w:t>经查实在申请过程中弄虚作假者；</w:t>
      </w:r>
    </w:p>
    <w:p>
      <w:pPr>
        <w:ind w:left="629"/>
        <w:spacing w:before="155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3"/>
        </w:rPr>
        <w:t>5.</w:t>
      </w:r>
      <w:r>
        <w:rPr>
          <w:rFonts w:ascii="FangSong" w:hAnsi="FangSong" w:eastAsia="FangSong" w:cs="FangSong"/>
          <w:sz w:val="32"/>
          <w:szCs w:val="32"/>
          <w:spacing w:val="3"/>
        </w:rPr>
        <w:t>申请出国者。</w:t>
      </w:r>
    </w:p>
    <w:p>
      <w:pPr>
        <w:ind w:right="118" w:firstLine="629"/>
        <w:spacing w:before="174" w:line="25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31"/>
        </w:rPr>
        <w:t>(三)获推免后主动放弃资格的，下一年度等额扣减学生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2"/>
        </w:rPr>
        <w:t>所在学院推免指标。</w:t>
      </w:r>
    </w:p>
    <w:p>
      <w:pPr>
        <w:ind w:left="629"/>
        <w:spacing w:before="156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2"/>
        </w:rPr>
        <w:t>(四)未尽事宜，由学校推免工作领导小组讨论决定。</w:t>
      </w:r>
    </w:p>
    <w:p>
      <w:pPr>
        <w:ind w:left="629"/>
        <w:spacing w:before="167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21"/>
        </w:rPr>
        <w:t>(五)本办法自2024级学生开始执行，由教务处负责解释。</w:t>
      </w:r>
    </w:p>
    <w:p>
      <w:pPr>
        <w:ind w:left="629"/>
        <w:spacing w:before="179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29"/>
        </w:rPr>
        <w:t>(六)本办法与上级文件精神有冲突时，以上级文件为准。</w:t>
      </w:r>
    </w:p>
    <w:p>
      <w:pPr>
        <w:pStyle w:val="BodyText"/>
        <w:spacing w:line="316" w:lineRule="auto"/>
        <w:rPr/>
      </w:pPr>
      <w:r/>
    </w:p>
    <w:p>
      <w:pPr>
        <w:pStyle w:val="BodyText"/>
        <w:spacing w:line="317" w:lineRule="auto"/>
        <w:rPr/>
      </w:pPr>
      <w:r/>
    </w:p>
    <w:p>
      <w:pPr>
        <w:ind w:left="1928" w:right="72" w:hanging="1299"/>
        <w:spacing w:before="104" w:line="31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附件：1.可认定特殊学术专长的科研竞赛和核心期刊索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引目录</w:t>
      </w:r>
    </w:p>
    <w:p>
      <w:pPr>
        <w:ind w:left="1928" w:right="362" w:hanging="349"/>
        <w:spacing w:before="1" w:line="295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26"/>
        </w:rPr>
        <w:t>2.</w:t>
      </w:r>
      <w:r>
        <w:rPr>
          <w:rFonts w:ascii="Times New Roman" w:hAnsi="Times New Roman" w:eastAsia="Times New Roman" w:cs="Times New Roman"/>
          <w:sz w:val="35"/>
          <w:szCs w:val="35"/>
          <w:spacing w:val="-2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6"/>
        </w:rPr>
        <w:t>江西中医药大学推免生综合素质项目加分计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7"/>
        </w:rPr>
        <w:t>算办法</w:t>
      </w:r>
    </w:p>
    <w:p>
      <w:pPr>
        <w:spacing w:line="295" w:lineRule="auto"/>
        <w:sectPr>
          <w:footerReference w:type="default" r:id="rId14"/>
          <w:pgSz w:w="11900" w:h="16830"/>
          <w:pgMar w:top="1430" w:right="1785" w:bottom="1297" w:left="1740" w:header="0" w:footer="999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ind w:left="85"/>
        <w:spacing w:before="69" w:line="224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-32"/>
        </w:rPr>
        <w:t>附件1</w:t>
      </w:r>
    </w:p>
    <w:p>
      <w:pPr>
        <w:pStyle w:val="BodyText"/>
        <w:spacing w:line="254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left="489"/>
        <w:spacing w:before="113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3"/>
        </w:rPr>
        <w:t>可认定特殊学术专长的科研竞赛和核心期刊索引目录</w:t>
      </w: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left="89"/>
        <w:spacing w:before="111" w:line="222" w:lineRule="auto"/>
        <w:outlineLvl w:val="1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一、科研竞赛</w:t>
      </w:r>
    </w:p>
    <w:p>
      <w:pPr>
        <w:spacing w:line="89" w:lineRule="exact"/>
        <w:rPr/>
      </w:pPr>
      <w:r/>
    </w:p>
    <w:tbl>
      <w:tblPr>
        <w:tblStyle w:val="TableNormal"/>
        <w:tblW w:w="874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4"/>
        <w:gridCol w:w="5504"/>
        <w:gridCol w:w="2492"/>
      </w:tblGrid>
      <w:tr>
        <w:trPr>
          <w:trHeight w:val="474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28"/>
              <w:spacing w:before="12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5504" w:type="dxa"/>
            <w:vAlign w:val="top"/>
          </w:tcPr>
          <w:p>
            <w:pPr>
              <w:pStyle w:val="TableText"/>
              <w:ind w:left="2260"/>
              <w:spacing w:before="125" w:line="219" w:lineRule="auto"/>
              <w:rPr/>
            </w:pPr>
            <w:r>
              <w:rPr>
                <w:spacing w:val="3"/>
              </w:rPr>
              <w:t>竞赛名称</w:t>
            </w:r>
          </w:p>
        </w:tc>
        <w:tc>
          <w:tcPr>
            <w:tcW w:w="2492" w:type="dxa"/>
            <w:vAlign w:val="top"/>
          </w:tcPr>
          <w:p>
            <w:pPr>
              <w:pStyle w:val="TableText"/>
              <w:ind w:left="757"/>
              <w:spacing w:before="125" w:line="219" w:lineRule="auto"/>
              <w:rPr/>
            </w:pPr>
            <w:r>
              <w:rPr>
                <w:spacing w:val="2"/>
              </w:rPr>
              <w:t>主办单位</w:t>
            </w:r>
          </w:p>
        </w:tc>
      </w:tr>
      <w:tr>
        <w:trPr>
          <w:trHeight w:val="458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4"/>
              <w:spacing w:before="134" w:line="241" w:lineRule="auto"/>
              <w:rPr/>
            </w:pPr>
            <w:r>
              <w:rPr/>
              <w:t>1</w:t>
            </w:r>
          </w:p>
        </w:tc>
        <w:tc>
          <w:tcPr>
            <w:tcW w:w="5504" w:type="dxa"/>
            <w:vAlign w:val="top"/>
          </w:tcPr>
          <w:p>
            <w:pPr>
              <w:pStyle w:val="TableText"/>
              <w:ind w:left="1421"/>
              <w:spacing w:before="110" w:line="219" w:lineRule="auto"/>
              <w:rPr/>
            </w:pPr>
            <w:r>
              <w:rPr/>
              <w:t>中国国际大学生创新大赛</w:t>
            </w:r>
          </w:p>
        </w:tc>
        <w:tc>
          <w:tcPr>
            <w:tcW w:w="2492" w:type="dxa"/>
            <w:vAlign w:val="top"/>
          </w:tcPr>
          <w:p>
            <w:pPr>
              <w:pStyle w:val="TableText"/>
              <w:ind w:left="757"/>
              <w:spacing w:before="110" w:line="219" w:lineRule="auto"/>
              <w:rPr/>
            </w:pPr>
            <w:r>
              <w:rPr>
                <w:spacing w:val="2"/>
              </w:rPr>
              <w:t>教育部等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4"/>
              <w:spacing w:before="147"/>
              <w:rPr/>
            </w:pPr>
            <w:r>
              <w:rPr/>
              <w:t>2</w:t>
            </w:r>
          </w:p>
        </w:tc>
        <w:tc>
          <w:tcPr>
            <w:tcW w:w="5504" w:type="dxa"/>
            <w:vAlign w:val="top"/>
          </w:tcPr>
          <w:p>
            <w:pPr>
              <w:pStyle w:val="TableText"/>
              <w:ind w:left="221"/>
              <w:spacing w:before="121" w:line="219" w:lineRule="auto"/>
              <w:rPr/>
            </w:pPr>
            <w:r>
              <w:rPr>
                <w:spacing w:val="6"/>
              </w:rPr>
              <w:t>“挑战杯”全国大学生课外学术科技作品竟赛</w:t>
            </w:r>
          </w:p>
        </w:tc>
        <w:tc>
          <w:tcPr>
            <w:tcW w:w="2492" w:type="dxa"/>
            <w:vAlign w:val="top"/>
          </w:tcPr>
          <w:p>
            <w:pPr>
              <w:pStyle w:val="TableText"/>
              <w:ind w:left="517"/>
              <w:spacing w:before="121" w:line="219" w:lineRule="auto"/>
              <w:rPr/>
            </w:pPr>
            <w:r>
              <w:rPr>
                <w:spacing w:val="-2"/>
              </w:rPr>
              <w:t>共青团中央等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4"/>
              <w:spacing w:before="148" w:line="239" w:lineRule="auto"/>
              <w:rPr/>
            </w:pPr>
            <w:r>
              <w:rPr/>
              <w:t>3</w:t>
            </w:r>
          </w:p>
        </w:tc>
        <w:tc>
          <w:tcPr>
            <w:tcW w:w="5504" w:type="dxa"/>
            <w:vAlign w:val="top"/>
          </w:tcPr>
          <w:p>
            <w:pPr>
              <w:pStyle w:val="TableText"/>
              <w:ind w:left="701"/>
              <w:spacing w:before="122" w:line="219" w:lineRule="auto"/>
              <w:rPr/>
            </w:pPr>
            <w:r>
              <w:rPr>
                <w:spacing w:val="8"/>
              </w:rPr>
              <w:t>“挑战杯”中国大学生创业计划大赛</w:t>
            </w:r>
          </w:p>
        </w:tc>
        <w:tc>
          <w:tcPr>
            <w:tcW w:w="2492" w:type="dxa"/>
            <w:vAlign w:val="top"/>
          </w:tcPr>
          <w:p>
            <w:pPr>
              <w:pStyle w:val="TableText"/>
              <w:ind w:left="517"/>
              <w:spacing w:before="122" w:line="219" w:lineRule="auto"/>
              <w:rPr/>
            </w:pPr>
            <w:r>
              <w:rPr>
                <w:spacing w:val="-2"/>
              </w:rPr>
              <w:t>共青团中央等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4"/>
              <w:spacing w:before="138" w:line="239" w:lineRule="auto"/>
              <w:rPr/>
            </w:pPr>
            <w:r>
              <w:rPr/>
              <w:t>4</w:t>
            </w:r>
          </w:p>
        </w:tc>
        <w:tc>
          <w:tcPr>
            <w:tcW w:w="5504" w:type="dxa"/>
            <w:vAlign w:val="top"/>
          </w:tcPr>
          <w:p>
            <w:pPr>
              <w:pStyle w:val="TableText"/>
              <w:ind w:left="1181"/>
              <w:spacing w:before="114" w:line="219" w:lineRule="auto"/>
              <w:rPr/>
            </w:pPr>
            <w:r>
              <w:rPr/>
              <w:t>中国大学生医学技术技能大赛</w:t>
            </w:r>
          </w:p>
        </w:tc>
        <w:tc>
          <w:tcPr>
            <w:tcW w:w="2492" w:type="dxa"/>
            <w:vAlign w:val="top"/>
          </w:tcPr>
          <w:p>
            <w:pPr>
              <w:pStyle w:val="TableText"/>
              <w:ind w:left="757"/>
              <w:spacing w:before="114" w:line="219" w:lineRule="auto"/>
              <w:rPr/>
            </w:pPr>
            <w:r>
              <w:rPr>
                <w:spacing w:val="2"/>
              </w:rPr>
              <w:t>教育部等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4"/>
              <w:spacing w:before="149" w:line="238" w:lineRule="auto"/>
              <w:rPr/>
            </w:pPr>
            <w:r>
              <w:rPr/>
              <w:t>5</w:t>
            </w:r>
          </w:p>
        </w:tc>
        <w:tc>
          <w:tcPr>
            <w:tcW w:w="5504" w:type="dxa"/>
            <w:vAlign w:val="top"/>
          </w:tcPr>
          <w:p>
            <w:pPr>
              <w:pStyle w:val="TableText"/>
              <w:ind w:left="1421"/>
              <w:spacing w:before="125" w:line="219" w:lineRule="auto"/>
              <w:rPr/>
            </w:pPr>
            <w:r>
              <w:rPr>
                <w:spacing w:val="-1"/>
              </w:rPr>
              <w:t>全国大学生电子设计竞赛</w:t>
            </w:r>
          </w:p>
        </w:tc>
        <w:tc>
          <w:tcPr>
            <w:tcW w:w="2492" w:type="dxa"/>
            <w:vAlign w:val="top"/>
          </w:tcPr>
          <w:p>
            <w:pPr>
              <w:pStyle w:val="TableText"/>
              <w:ind w:left="757"/>
              <w:spacing w:before="125" w:line="219" w:lineRule="auto"/>
              <w:rPr/>
            </w:pPr>
            <w:r>
              <w:rPr>
                <w:spacing w:val="2"/>
              </w:rPr>
              <w:t>教育部等</w:t>
            </w:r>
          </w:p>
        </w:tc>
      </w:tr>
      <w:tr>
        <w:trPr>
          <w:trHeight w:val="918" w:hRule="atLeast"/>
        </w:trPr>
        <w:tc>
          <w:tcPr>
            <w:tcW w:w="74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4"/>
              <w:spacing w:before="78"/>
              <w:rPr/>
            </w:pPr>
            <w:r>
              <w:rPr/>
              <w:t>6</w:t>
            </w:r>
          </w:p>
        </w:tc>
        <w:tc>
          <w:tcPr>
            <w:tcW w:w="550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1"/>
              <w:spacing w:before="78" w:line="219" w:lineRule="auto"/>
              <w:rPr/>
            </w:pPr>
            <w:r>
              <w:rPr>
                <w:spacing w:val="8"/>
              </w:rPr>
              <w:t>“中国软件杯”大学生软件设计大赛</w:t>
            </w:r>
          </w:p>
        </w:tc>
        <w:tc>
          <w:tcPr>
            <w:tcW w:w="2492" w:type="dxa"/>
            <w:vAlign w:val="top"/>
          </w:tcPr>
          <w:p>
            <w:pPr>
              <w:pStyle w:val="TableText"/>
              <w:ind w:left="997" w:right="155" w:hanging="840"/>
              <w:spacing w:before="107" w:line="308" w:lineRule="auto"/>
              <w:rPr/>
            </w:pPr>
            <w:r>
              <w:rPr>
                <w:spacing w:val="1"/>
              </w:rPr>
              <w:t>工业和信息化部、教</w:t>
            </w:r>
            <w:r>
              <w:rPr/>
              <w:t xml:space="preserve"> </w:t>
            </w:r>
            <w:r>
              <w:rPr>
                <w:spacing w:val="6"/>
              </w:rPr>
              <w:t>育部</w:t>
            </w:r>
          </w:p>
        </w:tc>
      </w:tr>
      <w:tr>
        <w:trPr>
          <w:trHeight w:val="493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4"/>
              <w:spacing w:before="162"/>
              <w:rPr/>
            </w:pPr>
            <w:r>
              <w:rPr/>
              <w:t>7</w:t>
            </w:r>
          </w:p>
        </w:tc>
        <w:tc>
          <w:tcPr>
            <w:tcW w:w="5504" w:type="dxa"/>
            <w:vAlign w:val="top"/>
          </w:tcPr>
          <w:p>
            <w:pPr>
              <w:pStyle w:val="TableText"/>
              <w:ind w:left="1421"/>
              <w:spacing w:before="138" w:line="219" w:lineRule="auto"/>
              <w:rPr/>
            </w:pPr>
            <w:r>
              <w:rPr>
                <w:spacing w:val="-1"/>
              </w:rPr>
              <w:t>全国大学生职业规划大赛</w:t>
            </w:r>
          </w:p>
        </w:tc>
        <w:tc>
          <w:tcPr>
            <w:tcW w:w="2492" w:type="dxa"/>
            <w:vAlign w:val="top"/>
          </w:tcPr>
          <w:p>
            <w:pPr>
              <w:pStyle w:val="TableText"/>
              <w:ind w:left="757"/>
              <w:spacing w:before="138" w:line="219" w:lineRule="auto"/>
              <w:rPr/>
            </w:pPr>
            <w:r>
              <w:rPr>
                <w:spacing w:val="2"/>
              </w:rPr>
              <w:t>教育部等</w:t>
            </w:r>
          </w:p>
        </w:tc>
      </w:tr>
    </w:tbl>
    <w:p>
      <w:pPr>
        <w:ind w:left="129"/>
        <w:spacing w:before="44" w:line="220" w:lineRule="auto"/>
        <w:outlineLvl w:val="2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二、核心期刊索引</w:t>
      </w:r>
    </w:p>
    <w:p>
      <w:pPr>
        <w:spacing w:line="97" w:lineRule="exact"/>
        <w:rPr/>
      </w:pPr>
      <w:r/>
    </w:p>
    <w:tbl>
      <w:tblPr>
        <w:tblStyle w:val="TableNormal"/>
        <w:tblW w:w="8713" w:type="dxa"/>
        <w:tblInd w:w="1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4"/>
        <w:gridCol w:w="7689"/>
      </w:tblGrid>
      <w:tr>
        <w:trPr>
          <w:trHeight w:val="524" w:hRule="atLeast"/>
        </w:trPr>
        <w:tc>
          <w:tcPr>
            <w:tcW w:w="1024" w:type="dxa"/>
            <w:vAlign w:val="top"/>
          </w:tcPr>
          <w:p>
            <w:pPr>
              <w:pStyle w:val="TableText"/>
              <w:ind w:left="268"/>
              <w:spacing w:before="141" w:line="219" w:lineRule="auto"/>
              <w:rPr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7689" w:type="dxa"/>
            <w:vAlign w:val="top"/>
          </w:tcPr>
          <w:p>
            <w:pPr>
              <w:pStyle w:val="TableText"/>
              <w:ind w:left="3324"/>
              <w:spacing w:before="142" w:line="220" w:lineRule="auto"/>
              <w:rPr/>
            </w:pPr>
            <w:r>
              <w:rPr>
                <w:b/>
                <w:bCs/>
                <w:spacing w:val="-6"/>
              </w:rPr>
              <w:t>索引目录</w:t>
            </w:r>
          </w:p>
        </w:tc>
      </w:tr>
      <w:tr>
        <w:trPr>
          <w:trHeight w:val="4263" w:hRule="atLeast"/>
        </w:trPr>
        <w:tc>
          <w:tcPr>
            <w:tcW w:w="102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78" w:line="220" w:lineRule="auto"/>
              <w:rPr/>
            </w:pPr>
            <w:r>
              <w:rPr>
                <w:spacing w:val="4"/>
              </w:rPr>
              <w:t>核心期刊</w:t>
            </w:r>
          </w:p>
          <w:p>
            <w:pPr>
              <w:pStyle w:val="TableText"/>
              <w:ind w:left="24"/>
              <w:spacing w:before="114" w:line="220" w:lineRule="auto"/>
              <w:rPr/>
            </w:pPr>
            <w:r>
              <w:rPr>
                <w:spacing w:val="2"/>
              </w:rPr>
              <w:t>级别以上</w:t>
            </w:r>
          </w:p>
          <w:p>
            <w:pPr>
              <w:pStyle w:val="TableText"/>
              <w:ind w:left="265"/>
              <w:spacing w:before="106" w:line="221" w:lineRule="auto"/>
              <w:rPr/>
            </w:pPr>
            <w:r>
              <w:rPr>
                <w:spacing w:val="6"/>
              </w:rPr>
              <w:t>论文</w:t>
            </w:r>
          </w:p>
        </w:tc>
        <w:tc>
          <w:tcPr>
            <w:tcW w:w="7689" w:type="dxa"/>
            <w:vAlign w:val="top"/>
          </w:tcPr>
          <w:p>
            <w:pPr>
              <w:pStyle w:val="TableText"/>
              <w:ind w:left="11" w:firstLine="449"/>
              <w:spacing w:before="30" w:line="256" w:lineRule="auto"/>
              <w:rPr/>
            </w:pPr>
            <w:r>
              <w:rPr>
                <w:spacing w:val="-3"/>
              </w:rPr>
              <w:t>1.在当年《中文社会科学引文索引》CSSCI来源期刊、《中国科学引文</w:t>
            </w:r>
            <w:r>
              <w:rPr/>
              <w:t xml:space="preserve"> </w:t>
            </w:r>
            <w:r>
              <w:rPr>
                <w:spacing w:val="7"/>
              </w:rPr>
              <w:t>数据库》(</w:t>
            </w:r>
            <w:r>
              <w:rPr/>
              <w:t>CSCD</w:t>
            </w:r>
            <w:r>
              <w:rPr>
                <w:spacing w:val="7"/>
              </w:rPr>
              <w:t>核心库)上发表的论文；</w:t>
            </w:r>
          </w:p>
          <w:p>
            <w:pPr>
              <w:pStyle w:val="TableText"/>
              <w:ind w:left="11" w:right="16" w:firstLine="439"/>
              <w:spacing w:before="115" w:line="250" w:lineRule="auto"/>
              <w:rPr/>
            </w:pPr>
            <w:r>
              <w:rPr/>
              <w:t>2.在《人民日报》《光明日报》等国家级报纸理论版上发表的学术论</w:t>
            </w:r>
            <w:r>
              <w:rPr>
                <w:spacing w:val="10"/>
              </w:rPr>
              <w:t xml:space="preserve"> </w:t>
            </w:r>
            <w:r>
              <w:rPr>
                <w:spacing w:val="-6"/>
              </w:rPr>
              <w:t>文</w:t>
            </w:r>
            <w:r>
              <w:rPr>
                <w:spacing w:val="67"/>
              </w:rPr>
              <w:t xml:space="preserve"> </w:t>
            </w:r>
            <w:r>
              <w:rPr>
                <w:spacing w:val="-6"/>
              </w:rPr>
              <w:t>；</w:t>
            </w:r>
          </w:p>
          <w:p>
            <w:pPr>
              <w:pStyle w:val="TableText"/>
              <w:ind w:left="11" w:right="17" w:firstLine="449"/>
              <w:spacing w:before="118" w:line="260" w:lineRule="auto"/>
              <w:rPr/>
            </w:pPr>
            <w:r>
              <w:rPr/>
              <w:t>3.《新华文摘》《中国人民大学复印报刊资料》《高等学校文科学报 </w:t>
            </w:r>
            <w:r>
              <w:rPr>
                <w:spacing w:val="9"/>
              </w:rPr>
              <w:t>文摘》全文转载的学术论文；</w:t>
            </w:r>
          </w:p>
          <w:p>
            <w:pPr>
              <w:pStyle w:val="TableText"/>
              <w:ind w:left="451"/>
              <w:spacing w:before="103" w:line="219" w:lineRule="auto"/>
              <w:rPr/>
            </w:pPr>
            <w:r>
              <w:rPr/>
              <w:t>4.在国外学术期刊上公开发表且被SCI(科学引文索引)、EI(工程索</w:t>
            </w:r>
          </w:p>
          <w:p>
            <w:pPr>
              <w:pStyle w:val="TableText"/>
              <w:ind w:left="11"/>
              <w:spacing w:before="106" w:line="278" w:lineRule="auto"/>
              <w:rPr/>
            </w:pPr>
            <w:r>
              <w:rPr/>
              <w:t>引)、SSCI(社会科学引文索引)、A&amp;HCI(艺</w:t>
            </w:r>
            <w:r>
              <w:rPr>
                <w:spacing w:val="-1"/>
              </w:rPr>
              <w:t>术与人文科学引文索引)收录的</w:t>
            </w:r>
            <w:r>
              <w:rPr/>
              <w:t xml:space="preserve"> </w:t>
            </w:r>
            <w:r>
              <w:rPr>
                <w:spacing w:val="-4"/>
              </w:rPr>
              <w:t>学术论文视同为核心期刊以上级别论文(不含研究</w:t>
            </w:r>
            <w:r>
              <w:rPr>
                <w:spacing w:val="-5"/>
              </w:rPr>
              <w:t>摘要、会议综述、会议通</w:t>
            </w:r>
            <w:r>
              <w:rPr/>
              <w:t xml:space="preserve"> </w:t>
            </w:r>
            <w:r>
              <w:rPr>
                <w:spacing w:val="-1"/>
              </w:rPr>
              <w:t>讯、书评等，不含会议检索论文),且须提供有资质的检索部门出具的收录</w:t>
            </w:r>
            <w:r>
              <w:rPr>
                <w:spacing w:val="8"/>
              </w:rPr>
              <w:t xml:space="preserve"> </w:t>
            </w:r>
            <w:r>
              <w:rPr>
                <w:spacing w:val="10"/>
              </w:rPr>
              <w:t>证明</w:t>
            </w:r>
            <w:r>
              <w:rPr>
                <w:spacing w:val="-61"/>
              </w:rPr>
              <w:t xml:space="preserve"> </w:t>
            </w:r>
            <w:r>
              <w:rPr>
                <w:spacing w:val="10"/>
              </w:rPr>
              <w:t>.</w:t>
            </w:r>
          </w:p>
        </w:tc>
      </w:tr>
      <w:tr>
        <w:trPr>
          <w:trHeight w:val="1553" w:hRule="atLeast"/>
        </w:trPr>
        <w:tc>
          <w:tcPr>
            <w:tcW w:w="1024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78" w:line="220" w:lineRule="auto"/>
              <w:rPr/>
            </w:pPr>
            <w:r>
              <w:rPr>
                <w:spacing w:val="4"/>
              </w:rPr>
              <w:t>核心期刊</w:t>
            </w:r>
          </w:p>
          <w:p>
            <w:pPr>
              <w:pStyle w:val="TableText"/>
              <w:ind w:left="265"/>
              <w:spacing w:before="106" w:line="221" w:lineRule="auto"/>
              <w:rPr/>
            </w:pPr>
            <w:r>
              <w:rPr>
                <w:spacing w:val="6"/>
              </w:rPr>
              <w:t>论文</w:t>
            </w:r>
          </w:p>
        </w:tc>
        <w:tc>
          <w:tcPr>
            <w:tcW w:w="7689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99" w:hanging="1388"/>
              <w:spacing w:before="78" w:line="302" w:lineRule="auto"/>
              <w:rPr/>
            </w:pPr>
            <w:r>
              <w:rPr>
                <w:spacing w:val="-4"/>
              </w:rPr>
              <w:t>在当年《中文核心期刊要目总览》(由北京大学图书馆、北京高校图书</w:t>
            </w:r>
            <w:r>
              <w:rPr>
                <w:spacing w:val="-5"/>
              </w:rPr>
              <w:t>馆期</w:t>
            </w:r>
            <w:r>
              <w:rPr/>
              <w:t xml:space="preserve"> </w:t>
            </w:r>
            <w:r>
              <w:rPr/>
              <w:t>刊工作研究会编撰)所列核心期刊上发表的论文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6"/>
          <w:pgSz w:w="11900" w:h="16830"/>
          <w:pgMar w:top="1288" w:right="1564" w:bottom="1361" w:left="1584" w:header="0" w:footer="1011" w:gutter="0"/>
        </w:sectPr>
        <w:rPr/>
      </w:pPr>
    </w:p>
    <w:p>
      <w:pPr>
        <w:ind w:left="29"/>
        <w:spacing w:before="65" w:line="223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3"/>
        </w:rPr>
        <w:t>附件2</w:t>
      </w:r>
    </w:p>
    <w:p>
      <w:pPr>
        <w:ind w:left="1709"/>
        <w:spacing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1"/>
        </w:rPr>
        <w:t>推免生综合素质项目加分计算办法</w:t>
      </w:r>
    </w:p>
    <w:p>
      <w:pPr>
        <w:pStyle w:val="BodyText"/>
        <w:spacing w:line="379" w:lineRule="auto"/>
        <w:rPr/>
      </w:pPr>
      <w:r/>
    </w:p>
    <w:p>
      <w:pPr>
        <w:ind w:left="4"/>
        <w:spacing w:before="104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5"/>
        </w:rPr>
        <w:t>一、学科竞赛获奖及科技成果</w:t>
      </w:r>
    </w:p>
    <w:p>
      <w:pPr>
        <w:ind w:left="78"/>
        <w:spacing w:before="104" w:line="219" w:lineRule="auto"/>
        <w:outlineLvl w:val="2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3"/>
        </w:rPr>
        <w:t>(一)加分项目及分值</w:t>
      </w:r>
    </w:p>
    <w:p>
      <w:pPr>
        <w:spacing w:line="53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3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62"/>
        <w:gridCol w:w="2147"/>
        <w:gridCol w:w="1928"/>
        <w:gridCol w:w="1863"/>
      </w:tblGrid>
      <w:tr>
        <w:trPr>
          <w:trHeight w:val="354" w:hRule="atLeast"/>
        </w:trPr>
        <w:tc>
          <w:tcPr>
            <w:tcW w:w="2362" w:type="dxa"/>
            <w:vAlign w:val="top"/>
          </w:tcPr>
          <w:p>
            <w:pPr>
              <w:pStyle w:val="TableText"/>
              <w:ind w:left="424"/>
              <w:spacing w:before="55" w:line="21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竞赛获奖级别</w:t>
            </w:r>
          </w:p>
        </w:tc>
        <w:tc>
          <w:tcPr>
            <w:tcW w:w="2147" w:type="dxa"/>
            <w:vAlign w:val="top"/>
          </w:tcPr>
          <w:p>
            <w:pPr>
              <w:pStyle w:val="TableText"/>
              <w:ind w:left="816"/>
              <w:spacing w:before="54" w:line="21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9"/>
              </w:rPr>
              <w:t>排名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585"/>
              <w:spacing w:before="55" w:line="21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5"/>
              </w:rPr>
              <w:t>国家级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55" w:line="21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7"/>
              </w:rPr>
              <w:t>省级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8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"/>
              </w:rPr>
              <w:t>A类学科竞赛一等奖</w:t>
            </w:r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1" w:line="21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排名第一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645"/>
              <w:spacing w:before="75" w:line="19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5"/>
              </w:rPr>
              <w:t>10.00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75" w:line="19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7.00</w:t>
            </w:r>
          </w:p>
        </w:tc>
      </w:tr>
      <w:tr>
        <w:trPr>
          <w:trHeight w:val="34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1" w:line="20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排名第二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76" w:line="18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8.00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76" w:line="18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5.60</w:t>
            </w:r>
          </w:p>
        </w:tc>
      </w:tr>
      <w:tr>
        <w:trPr>
          <w:trHeight w:val="359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60" w:line="21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排名第三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6" w:line="19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6.40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6" w:line="19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4.48</w:t>
            </w:r>
          </w:p>
        </w:tc>
      </w:tr>
      <w:tr>
        <w:trPr>
          <w:trHeight w:val="34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2" w:line="20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排名第四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76" w:line="18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5.76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76" w:line="18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4.03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1" w:line="21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排名第五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77" w:line="19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5.18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77" w:line="19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3.63</w:t>
            </w:r>
          </w:p>
        </w:tc>
      </w:tr>
      <w:tr>
        <w:trPr>
          <w:trHeight w:val="359" w:hRule="atLeast"/>
        </w:trPr>
        <w:tc>
          <w:tcPr>
            <w:tcW w:w="23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192"/>
              <w:spacing w:before="61" w:line="21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排名第六及以后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7" w:line="19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4.67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7" w:line="19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3.27</w:t>
            </w:r>
          </w:p>
        </w:tc>
      </w:tr>
      <w:tr>
        <w:trPr>
          <w:trHeight w:val="340" w:hRule="atLeast"/>
        </w:trPr>
        <w:tc>
          <w:tcPr>
            <w:tcW w:w="2362" w:type="dxa"/>
            <w:vAlign w:val="top"/>
            <w:vMerge w:val="restart"/>
            <w:tcBorders>
              <w:bottom w:val="nil"/>
            </w:tcBorders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8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"/>
              </w:rPr>
              <w:t>A类学科竞赛二等奖</w:t>
            </w:r>
          </w:p>
          <w:p>
            <w:pPr>
              <w:pStyle w:val="TableText"/>
              <w:ind w:left="104"/>
              <w:spacing w:before="1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"/>
              </w:rPr>
              <w:t>B类学科竞赛一等奖</w:t>
            </w:r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2" w:line="20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排名第一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78" w:line="18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8.00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78" w:line="18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5.60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2" w:line="21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排名第二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78" w:line="19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6.40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78" w:line="19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4.48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2" w:line="21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排名第三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78" w:line="19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5.12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78" w:line="19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3.58</w:t>
            </w:r>
          </w:p>
        </w:tc>
      </w:tr>
      <w:tr>
        <w:trPr>
          <w:trHeight w:val="349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3" w:line="21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排名第四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79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4.61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79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3.23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4" w:line="21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排名第五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79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4.15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79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2.90</w:t>
            </w:r>
          </w:p>
        </w:tc>
      </w:tr>
      <w:tr>
        <w:trPr>
          <w:trHeight w:val="349" w:hRule="atLeast"/>
        </w:trPr>
        <w:tc>
          <w:tcPr>
            <w:tcW w:w="23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192"/>
              <w:spacing w:before="54" w:line="21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排名第六及以后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79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3.73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79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2.61</w:t>
            </w:r>
          </w:p>
        </w:tc>
      </w:tr>
      <w:tr>
        <w:trPr>
          <w:trHeight w:val="349" w:hRule="atLeast"/>
        </w:trPr>
        <w:tc>
          <w:tcPr>
            <w:tcW w:w="2362" w:type="dxa"/>
            <w:vAlign w:val="top"/>
            <w:vMerge w:val="restart"/>
            <w:tcBorders>
              <w:bottom w:val="nil"/>
            </w:tcBorders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8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"/>
              </w:rPr>
              <w:t>A类学科竞赛三等奖</w:t>
            </w:r>
          </w:p>
          <w:p>
            <w:pPr>
              <w:pStyle w:val="TableText"/>
              <w:ind w:left="104"/>
              <w:spacing w:before="1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"/>
              </w:rPr>
              <w:t>B类学科竞赛二等奖</w:t>
            </w:r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4" w:line="21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排名第一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0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6.40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0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4.48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5" w:line="21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排名第二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5.12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3.58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5" w:line="21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排名第三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4.10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2.87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5" w:line="21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排名第四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3.69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2.58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5" w:line="21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排名第五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3.32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2.32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192"/>
              <w:spacing w:before="55" w:line="21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排名第六及以后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2.99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1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2.09</w:t>
            </w:r>
          </w:p>
        </w:tc>
      </w:tr>
      <w:tr>
        <w:trPr>
          <w:trHeight w:val="340" w:hRule="atLeast"/>
        </w:trPr>
        <w:tc>
          <w:tcPr>
            <w:tcW w:w="2362" w:type="dxa"/>
            <w:vAlign w:val="top"/>
            <w:vMerge w:val="restart"/>
            <w:tcBorders>
              <w:bottom w:val="nil"/>
            </w:tcBorders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8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"/>
              </w:rPr>
              <w:t>A类学科竞赛四等奖</w:t>
            </w:r>
          </w:p>
          <w:p>
            <w:pPr>
              <w:pStyle w:val="TableText"/>
              <w:ind w:left="104"/>
              <w:spacing w:before="1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"/>
              </w:rPr>
              <w:t>B类学科竞赛三等奖</w:t>
            </w:r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6" w:line="20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排名第一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0" w:line="18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5.12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0" w:line="18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3.58</w:t>
            </w:r>
          </w:p>
        </w:tc>
      </w:tr>
      <w:tr>
        <w:trPr>
          <w:trHeight w:val="359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65" w:line="20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排名第二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91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4.10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91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2.87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6" w:line="20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排名第三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2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3.28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2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2.29</w:t>
            </w:r>
          </w:p>
        </w:tc>
      </w:tr>
      <w:tr>
        <w:trPr>
          <w:trHeight w:val="34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6" w:line="20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排名第四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2" w:line="18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2.95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2" w:line="18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2.06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6" w:line="20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排名第五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2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2.65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2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6"/>
              </w:rPr>
              <w:t>1.86</w:t>
            </w:r>
          </w:p>
        </w:tc>
      </w:tr>
      <w:tr>
        <w:trPr>
          <w:trHeight w:val="360" w:hRule="atLeast"/>
        </w:trPr>
        <w:tc>
          <w:tcPr>
            <w:tcW w:w="23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192"/>
              <w:spacing w:before="66" w:line="20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排名第六及以后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92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2.39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92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6"/>
              </w:rPr>
              <w:t>1.67</w:t>
            </w:r>
          </w:p>
        </w:tc>
      </w:tr>
      <w:tr>
        <w:trPr>
          <w:trHeight w:val="339" w:hRule="atLeast"/>
        </w:trPr>
        <w:tc>
          <w:tcPr>
            <w:tcW w:w="2362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8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"/>
              </w:rPr>
              <w:t>B类学科竞赛四等奖</w:t>
            </w:r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6" w:line="20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排名第一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2" w:line="18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4.10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2" w:line="18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2.87</w:t>
            </w:r>
          </w:p>
        </w:tc>
      </w:tr>
      <w:tr>
        <w:trPr>
          <w:trHeight w:val="349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8" w:line="20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排名第二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3" w:line="18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3.28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3" w:line="18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2.29</w:t>
            </w:r>
          </w:p>
        </w:tc>
      </w:tr>
      <w:tr>
        <w:trPr>
          <w:trHeight w:val="36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68" w:line="20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2"/>
              </w:rPr>
              <w:t>排名第三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94" w:line="18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2.62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94" w:line="18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6"/>
              </w:rPr>
              <w:t>1.84</w:t>
            </w:r>
          </w:p>
        </w:tc>
      </w:tr>
      <w:tr>
        <w:trPr>
          <w:trHeight w:val="339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9" w:line="19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6"/>
              </w:rPr>
              <w:t>排名第四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3" w:line="18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2.36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3" w:line="18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6"/>
              </w:rPr>
              <w:t>1.65</w:t>
            </w:r>
          </w:p>
        </w:tc>
      </w:tr>
      <w:tr>
        <w:trPr>
          <w:trHeight w:val="350" w:hRule="atLeast"/>
        </w:trPr>
        <w:tc>
          <w:tcPr>
            <w:tcW w:w="236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563"/>
              <w:spacing w:before="59" w:line="20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排名第五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5" w:line="18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2.12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5" w:line="188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6"/>
              </w:rPr>
              <w:t>1.49</w:t>
            </w:r>
          </w:p>
        </w:tc>
      </w:tr>
      <w:tr>
        <w:trPr>
          <w:trHeight w:val="354" w:hRule="atLeast"/>
        </w:trPr>
        <w:tc>
          <w:tcPr>
            <w:tcW w:w="23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47" w:type="dxa"/>
            <w:vAlign w:val="top"/>
          </w:tcPr>
          <w:p>
            <w:pPr>
              <w:pStyle w:val="TableText"/>
              <w:ind w:left="192"/>
              <w:spacing w:before="59" w:line="21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排名第六及以后</w:t>
            </w:r>
          </w:p>
        </w:tc>
        <w:tc>
          <w:tcPr>
            <w:tcW w:w="1928" w:type="dxa"/>
            <w:vAlign w:val="top"/>
          </w:tcPr>
          <w:p>
            <w:pPr>
              <w:pStyle w:val="TableText"/>
              <w:ind w:left="705"/>
              <w:spacing w:before="85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6"/>
              </w:rPr>
              <w:t>1.91</w:t>
            </w:r>
          </w:p>
        </w:tc>
        <w:tc>
          <w:tcPr>
            <w:tcW w:w="1863" w:type="dxa"/>
            <w:vAlign w:val="top"/>
          </w:tcPr>
          <w:p>
            <w:pPr>
              <w:pStyle w:val="TableText"/>
              <w:ind w:left="678"/>
              <w:spacing w:before="85" w:line="19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6"/>
              </w:rPr>
              <w:t>1.34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7"/>
          <w:pgSz w:w="11900" w:h="16830"/>
          <w:pgMar w:top="1337" w:right="1785" w:bottom="1294" w:left="1715" w:header="0" w:footer="968" w:gutter="0"/>
        </w:sectPr>
        <w:rPr/>
      </w:pPr>
    </w:p>
    <w:tbl>
      <w:tblPr>
        <w:tblStyle w:val="TableNormal"/>
        <w:tblW w:w="8290" w:type="dxa"/>
        <w:tblInd w:w="2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792"/>
        <w:gridCol w:w="3785"/>
        <w:gridCol w:w="1713"/>
      </w:tblGrid>
      <w:tr>
        <w:trPr>
          <w:trHeight w:val="804" w:hRule="atLeast"/>
        </w:trPr>
        <w:tc>
          <w:tcPr>
            <w:tcW w:w="2792" w:type="dxa"/>
            <w:vAlign w:val="top"/>
          </w:tcPr>
          <w:p>
            <w:pPr>
              <w:pStyle w:val="TableText"/>
              <w:ind w:left="424"/>
              <w:spacing w:before="285" w:line="220" w:lineRule="auto"/>
              <w:rPr/>
            </w:pPr>
            <w:r>
              <w:rPr>
                <w:spacing w:val="2"/>
              </w:rPr>
              <w:t>课题、论文、专利</w:t>
            </w:r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643"/>
              <w:spacing w:before="285" w:line="219" w:lineRule="auto"/>
              <w:rPr/>
            </w:pPr>
            <w:r>
              <w:rPr>
                <w:spacing w:val="4"/>
              </w:rPr>
              <w:t>分值</w:t>
            </w:r>
          </w:p>
        </w:tc>
        <w:tc>
          <w:tcPr>
            <w:tcW w:w="1713" w:type="dxa"/>
            <w:vAlign w:val="top"/>
          </w:tcPr>
          <w:p>
            <w:pPr>
              <w:pStyle w:val="TableText"/>
              <w:ind w:left="607"/>
              <w:spacing w:before="286" w:line="221" w:lineRule="auto"/>
              <w:rPr/>
            </w:pPr>
            <w:r>
              <w:rPr>
                <w:spacing w:val="6"/>
              </w:rPr>
              <w:t>备注</w:t>
            </w:r>
          </w:p>
        </w:tc>
      </w:tr>
      <w:tr>
        <w:trPr>
          <w:trHeight w:val="459" w:hRule="atLeast"/>
        </w:trPr>
        <w:tc>
          <w:tcPr>
            <w:tcW w:w="279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78" w:line="219" w:lineRule="auto"/>
              <w:rPr/>
            </w:pPr>
            <w:r>
              <w:rPr>
                <w:spacing w:val="1"/>
              </w:rPr>
              <w:t>国家级课题主要完成人</w:t>
            </w:r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10" w:line="219" w:lineRule="auto"/>
              <w:rPr/>
            </w:pPr>
            <w:r>
              <w:rPr>
                <w:spacing w:val="1"/>
              </w:rPr>
              <w:t>排名第一：4.0</w:t>
            </w:r>
          </w:p>
        </w:tc>
        <w:tc>
          <w:tcPr>
            <w:tcW w:w="1713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78" w:line="220" w:lineRule="auto"/>
              <w:rPr/>
            </w:pPr>
            <w:r>
              <w:rPr>
                <w:spacing w:val="1"/>
              </w:rPr>
              <w:t>立项未结题者</w:t>
            </w:r>
          </w:p>
          <w:p>
            <w:pPr>
              <w:pStyle w:val="TableText"/>
              <w:ind w:left="127"/>
              <w:spacing w:before="19" w:line="216" w:lineRule="auto"/>
              <w:rPr/>
            </w:pPr>
            <w:r>
              <w:rPr>
                <w:spacing w:val="1"/>
              </w:rPr>
              <w:t>,按50%计。项</w:t>
            </w:r>
          </w:p>
          <w:p>
            <w:pPr>
              <w:pStyle w:val="TableText"/>
              <w:ind w:left="187"/>
              <w:spacing w:before="42" w:line="219" w:lineRule="auto"/>
              <w:rPr/>
            </w:pPr>
            <w:r>
              <w:rPr/>
              <w:t>目完成结题，</w:t>
            </w:r>
          </w:p>
          <w:p>
            <w:pPr>
              <w:pStyle w:val="TableText"/>
              <w:ind w:left="127"/>
              <w:spacing w:before="6" w:line="220" w:lineRule="auto"/>
              <w:rPr/>
            </w:pPr>
            <w:r>
              <w:rPr>
                <w:spacing w:val="-2"/>
              </w:rPr>
              <w:t>但成员有变更</w:t>
            </w:r>
          </w:p>
          <w:p>
            <w:pPr>
              <w:pStyle w:val="TableText"/>
              <w:ind w:left="127"/>
              <w:spacing w:before="24" w:line="221" w:lineRule="auto"/>
              <w:rPr/>
            </w:pPr>
            <w:r>
              <w:rPr>
                <w:spacing w:val="1"/>
              </w:rPr>
              <w:t>者，变更者立</w:t>
            </w:r>
          </w:p>
          <w:p>
            <w:pPr>
              <w:pStyle w:val="TableText"/>
              <w:ind w:left="127"/>
              <w:spacing w:before="42" w:line="219" w:lineRule="auto"/>
              <w:rPr/>
            </w:pPr>
            <w:r>
              <w:rPr>
                <w:spacing w:val="2"/>
              </w:rPr>
              <w:t>项、结题均按</w:t>
            </w:r>
          </w:p>
          <w:p>
            <w:pPr>
              <w:pStyle w:val="TableText"/>
              <w:ind w:left="367"/>
              <w:spacing w:before="5" w:line="219" w:lineRule="auto"/>
              <w:rPr/>
            </w:pPr>
            <w:r>
              <w:rPr>
                <w:spacing w:val="-1"/>
              </w:rPr>
              <w:t>50%计算。</w:t>
            </w:r>
          </w:p>
        </w:tc>
      </w:tr>
      <w:tr>
        <w:trPr>
          <w:trHeight w:val="450" w:hRule="atLeast"/>
        </w:trPr>
        <w:tc>
          <w:tcPr>
            <w:tcW w:w="2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12" w:line="219" w:lineRule="auto"/>
              <w:rPr/>
            </w:pPr>
            <w:r>
              <w:rPr>
                <w:spacing w:val="1"/>
              </w:rPr>
              <w:t>排名第二：2.0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0" w:hRule="atLeast"/>
        </w:trPr>
        <w:tc>
          <w:tcPr>
            <w:tcW w:w="279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22" w:line="219" w:lineRule="auto"/>
              <w:rPr/>
            </w:pPr>
            <w:r>
              <w:rPr>
                <w:spacing w:val="1"/>
              </w:rPr>
              <w:t>排名第三：1.5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9" w:hRule="atLeast"/>
        </w:trPr>
        <w:tc>
          <w:tcPr>
            <w:tcW w:w="2792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4"/>
              <w:spacing w:before="78" w:line="219" w:lineRule="auto"/>
              <w:rPr/>
            </w:pPr>
            <w:r>
              <w:rPr>
                <w:spacing w:val="1"/>
              </w:rPr>
              <w:t>省级课题主要完成人</w:t>
            </w:r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11" w:line="219" w:lineRule="auto"/>
              <w:rPr/>
            </w:pPr>
            <w:r>
              <w:rPr>
                <w:spacing w:val="1"/>
              </w:rPr>
              <w:t>排名第一：2.5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0" w:hRule="atLeast"/>
        </w:trPr>
        <w:tc>
          <w:tcPr>
            <w:tcW w:w="2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22" w:line="219" w:lineRule="auto"/>
              <w:rPr/>
            </w:pPr>
            <w:r>
              <w:rPr>
                <w:spacing w:val="1"/>
              </w:rPr>
              <w:t>排名第二：1.5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279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13" w:line="219" w:lineRule="auto"/>
              <w:rPr/>
            </w:pPr>
            <w:r>
              <w:rPr>
                <w:spacing w:val="1"/>
              </w:rPr>
              <w:t>排名第三：1.0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0" w:hRule="atLeast"/>
        </w:trPr>
        <w:tc>
          <w:tcPr>
            <w:tcW w:w="2792" w:type="dxa"/>
            <w:vAlign w:val="top"/>
            <w:vMerge w:val="restart"/>
            <w:tcBorders>
              <w:bottom w:val="nil"/>
            </w:tcBorders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4" w:right="186" w:hanging="1080"/>
              <w:spacing w:before="78" w:line="251" w:lineRule="auto"/>
              <w:rPr/>
            </w:pPr>
            <w:r>
              <w:rPr>
                <w:spacing w:val="1"/>
              </w:rPr>
              <w:t>国家级创新创业训练计</w:t>
            </w:r>
            <w:r>
              <w:rPr/>
              <w:t xml:space="preserve"> </w:t>
            </w:r>
            <w:r>
              <w:rPr/>
              <w:t>划</w:t>
            </w:r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23" w:line="219" w:lineRule="auto"/>
              <w:rPr/>
            </w:pPr>
            <w:r>
              <w:rPr>
                <w:spacing w:val="1"/>
              </w:rPr>
              <w:t>排名第一：1.2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9" w:hRule="atLeast"/>
        </w:trPr>
        <w:tc>
          <w:tcPr>
            <w:tcW w:w="2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12" w:line="219" w:lineRule="auto"/>
              <w:rPr/>
            </w:pPr>
            <w:r>
              <w:rPr>
                <w:spacing w:val="1"/>
              </w:rPr>
              <w:t>排名第二：0.8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0" w:hRule="atLeast"/>
        </w:trPr>
        <w:tc>
          <w:tcPr>
            <w:tcW w:w="279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23" w:line="219" w:lineRule="auto"/>
              <w:rPr/>
            </w:pPr>
            <w:r>
              <w:rPr>
                <w:spacing w:val="-2"/>
              </w:rPr>
              <w:t>排名第三：0.4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0" w:hRule="atLeast"/>
        </w:trPr>
        <w:tc>
          <w:tcPr>
            <w:tcW w:w="2792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78" w:line="219" w:lineRule="auto"/>
              <w:rPr/>
            </w:pPr>
            <w:r>
              <w:rPr>
                <w:spacing w:val="1"/>
              </w:rPr>
              <w:t>省级创新创业训练计划</w:t>
            </w:r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14" w:line="219" w:lineRule="auto"/>
              <w:rPr/>
            </w:pPr>
            <w:r>
              <w:rPr>
                <w:spacing w:val="1"/>
              </w:rPr>
              <w:t>排名第一：0.8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279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14" w:line="219" w:lineRule="auto"/>
              <w:rPr/>
            </w:pPr>
            <w:r>
              <w:rPr>
                <w:spacing w:val="-2"/>
              </w:rPr>
              <w:t>排名第二：0.4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87" w:hRule="atLeast"/>
        </w:trPr>
        <w:tc>
          <w:tcPr>
            <w:tcW w:w="2792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3" w:right="181" w:hanging="599"/>
              <w:spacing w:before="78" w:line="264" w:lineRule="auto"/>
              <w:rPr/>
            </w:pPr>
            <w:r>
              <w:rPr>
                <w:spacing w:val="1"/>
              </w:rPr>
              <w:t>在核心期刊级别以上期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刊发表论文</w:t>
            </w:r>
          </w:p>
        </w:tc>
        <w:tc>
          <w:tcPr>
            <w:tcW w:w="3785" w:type="dxa"/>
            <w:vAlign w:val="top"/>
          </w:tcPr>
          <w:p>
            <w:pPr>
              <w:pStyle w:val="TableText"/>
              <w:ind w:left="82"/>
              <w:spacing w:before="48" w:line="221" w:lineRule="auto"/>
              <w:rPr/>
            </w:pPr>
            <w:r>
              <w:rPr/>
              <w:t>SCI和SSCI论文：</w:t>
            </w:r>
          </w:p>
          <w:p>
            <w:pPr>
              <w:pStyle w:val="TableText"/>
              <w:ind w:left="82" w:right="77" w:firstLine="60"/>
              <w:spacing w:before="59" w:line="232" w:lineRule="auto"/>
              <w:jc w:val="both"/>
              <w:rPr/>
            </w:pPr>
            <w:r>
              <w:rPr>
                <w:spacing w:val="2"/>
              </w:rPr>
              <w:t>一区：第一作者10/第二作者2.5;</w:t>
            </w:r>
            <w:r>
              <w:rPr>
                <w:spacing w:val="13"/>
              </w:rPr>
              <w:t xml:space="preserve"> </w:t>
            </w:r>
            <w:r>
              <w:rPr>
                <w:spacing w:val="4"/>
              </w:rPr>
              <w:t>二区：第一作者7.0/第二作者2.0</w:t>
            </w:r>
            <w:r>
              <w:rPr/>
              <w:t xml:space="preserve"> </w:t>
            </w:r>
            <w:r>
              <w:rPr/>
              <w:t>;三区：第一作者5.0/第二作者1.5</w:t>
            </w:r>
          </w:p>
          <w:p>
            <w:pPr>
              <w:pStyle w:val="TableText"/>
              <w:ind w:left="82" w:right="430" w:firstLine="9"/>
              <w:spacing w:before="4" w:line="235" w:lineRule="auto"/>
              <w:rPr/>
            </w:pPr>
            <w:r>
              <w:rPr/>
              <w:t>;四区：第一作者4.5/第二作者</w:t>
            </w:r>
            <w:r>
              <w:rPr>
                <w:spacing w:val="10"/>
              </w:rPr>
              <w:t xml:space="preserve"> </w:t>
            </w:r>
            <w:r>
              <w:rPr>
                <w:spacing w:val="-6"/>
              </w:rPr>
              <w:t>1.0;</w:t>
            </w:r>
          </w:p>
          <w:p>
            <w:pPr>
              <w:pStyle w:val="TableText"/>
              <w:ind w:left="82" w:right="79" w:firstLine="60"/>
              <w:spacing w:before="4"/>
              <w:rPr/>
            </w:pPr>
            <w:r>
              <w:rPr/>
              <w:t>CSSCI</w:t>
            </w:r>
            <w:r>
              <w:rPr>
                <w:spacing w:val="2"/>
              </w:rPr>
              <w:t>论文、《新华文摘》《中国</w:t>
            </w:r>
            <w:r>
              <w:rPr/>
              <w:t xml:space="preserve"> </w:t>
            </w:r>
            <w:r>
              <w:rPr/>
              <w:t>人民大学复印报刊资料》《高等学</w:t>
            </w:r>
            <w:r>
              <w:rPr>
                <w:spacing w:val="12"/>
              </w:rPr>
              <w:t xml:space="preserve"> </w:t>
            </w:r>
            <w:r>
              <w:rPr/>
              <w:t>校文科学报文摘》全文转载的学术</w:t>
            </w:r>
            <w:r>
              <w:rPr>
                <w:spacing w:val="10"/>
              </w:rPr>
              <w:t xml:space="preserve"> </w:t>
            </w:r>
            <w:r>
              <w:rPr/>
              <w:t>论文、在《人民日报》《光明日报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》等国家级报纸理论版上发表的学</w:t>
            </w:r>
            <w:r>
              <w:rPr/>
              <w:t xml:space="preserve"> </w:t>
            </w:r>
            <w:r>
              <w:rPr>
                <w:spacing w:val="5"/>
              </w:rPr>
              <w:t>术论文、</w:t>
            </w:r>
            <w:r>
              <w:rPr/>
              <w:t>EI</w:t>
            </w:r>
            <w:r>
              <w:rPr>
                <w:spacing w:val="5"/>
              </w:rPr>
              <w:t>论文、A&amp;</w:t>
            </w:r>
            <w:r>
              <w:rPr/>
              <w:t>HCI</w:t>
            </w:r>
            <w:r>
              <w:rPr>
                <w:spacing w:val="5"/>
              </w:rPr>
              <w:t>论文：第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一作者：7.0/第二作者：2.0;</w:t>
            </w:r>
          </w:p>
          <w:p>
            <w:pPr>
              <w:pStyle w:val="TableText"/>
              <w:ind w:left="101" w:right="76" w:hanging="19"/>
              <w:spacing w:line="220" w:lineRule="auto"/>
              <w:rPr/>
            </w:pPr>
            <w:r>
              <w:rPr/>
              <w:t>CSCD</w:t>
            </w:r>
            <w:r>
              <w:rPr>
                <w:spacing w:val="1"/>
              </w:rPr>
              <w:t>论文：第一作者：4.5/第二作</w:t>
            </w:r>
            <w:r>
              <w:rPr/>
              <w:t xml:space="preserve"> </w:t>
            </w:r>
            <w:r>
              <w:rPr>
                <w:spacing w:val="8"/>
              </w:rPr>
              <w:t>者：1.0;</w:t>
            </w:r>
          </w:p>
        </w:tc>
        <w:tc>
          <w:tcPr>
            <w:tcW w:w="1713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78" w:line="219" w:lineRule="auto"/>
              <w:rPr/>
            </w:pPr>
            <w:r>
              <w:rPr>
                <w:spacing w:val="-2"/>
              </w:rPr>
              <w:t>共同第一作者</w:t>
            </w:r>
          </w:p>
          <w:p>
            <w:pPr>
              <w:pStyle w:val="TableText"/>
              <w:ind w:left="127"/>
              <w:spacing w:before="45" w:line="219" w:lineRule="auto"/>
              <w:rPr/>
            </w:pPr>
            <w:r>
              <w:rPr>
                <w:spacing w:val="6"/>
              </w:rPr>
              <w:t>的，分值为自</w:t>
            </w:r>
          </w:p>
          <w:p>
            <w:pPr>
              <w:pStyle w:val="TableText"/>
              <w:ind w:left="127"/>
              <w:spacing w:before="15" w:line="219" w:lineRule="auto"/>
              <w:rPr/>
            </w:pPr>
            <w:r>
              <w:rPr>
                <w:spacing w:val="2"/>
              </w:rPr>
              <w:t>然排序第一作</w:t>
            </w:r>
          </w:p>
          <w:p>
            <w:pPr>
              <w:pStyle w:val="TableText"/>
              <w:ind w:left="367"/>
              <w:spacing w:before="26" w:line="221" w:lineRule="auto"/>
              <w:rPr/>
            </w:pPr>
            <w:r>
              <w:rPr/>
              <w:t>者的50%。</w:t>
            </w:r>
          </w:p>
        </w:tc>
      </w:tr>
      <w:tr>
        <w:trPr>
          <w:trHeight w:val="450" w:hRule="atLeast"/>
        </w:trPr>
        <w:tc>
          <w:tcPr>
            <w:tcW w:w="2792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4"/>
              <w:spacing w:before="78" w:line="220" w:lineRule="auto"/>
              <w:rPr/>
            </w:pPr>
            <w:r>
              <w:rPr>
                <w:spacing w:val="1"/>
              </w:rPr>
              <w:t>在核心期刊发表论文</w:t>
            </w:r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18" w:line="219" w:lineRule="auto"/>
              <w:rPr/>
            </w:pPr>
            <w:r>
              <w:rPr>
                <w:spacing w:val="1"/>
              </w:rPr>
              <w:t>第一作者：4.0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9" w:hRule="atLeast"/>
        </w:trPr>
        <w:tc>
          <w:tcPr>
            <w:tcW w:w="279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28" w:line="219" w:lineRule="auto"/>
              <w:rPr/>
            </w:pPr>
            <w:r>
              <w:rPr>
                <w:spacing w:val="1"/>
              </w:rPr>
              <w:t>第二作者：1.0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2792" w:type="dxa"/>
            <w:vAlign w:val="top"/>
          </w:tcPr>
          <w:p>
            <w:pPr>
              <w:pStyle w:val="TableText"/>
              <w:ind w:left="184"/>
              <w:spacing w:before="119" w:line="219" w:lineRule="auto"/>
              <w:rPr/>
            </w:pPr>
            <w:r>
              <w:rPr>
                <w:spacing w:val="1"/>
              </w:rPr>
              <w:t>一般学术期刊发表论文</w:t>
            </w:r>
          </w:p>
        </w:tc>
        <w:tc>
          <w:tcPr>
            <w:tcW w:w="3785" w:type="dxa"/>
            <w:vAlign w:val="top"/>
          </w:tcPr>
          <w:p>
            <w:pPr>
              <w:pStyle w:val="TableText"/>
              <w:ind w:left="1102"/>
              <w:spacing w:before="119" w:line="219" w:lineRule="auto"/>
              <w:rPr/>
            </w:pPr>
            <w:r>
              <w:rPr>
                <w:spacing w:val="1"/>
              </w:rPr>
              <w:t>第一作者：0.5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2792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4"/>
              <w:spacing w:before="78" w:line="219" w:lineRule="auto"/>
              <w:rPr/>
            </w:pPr>
            <w:r>
              <w:rPr>
                <w:spacing w:val="4"/>
              </w:rPr>
              <w:t>发明专利</w:t>
            </w:r>
          </w:p>
        </w:tc>
        <w:tc>
          <w:tcPr>
            <w:tcW w:w="3785" w:type="dxa"/>
            <w:vAlign w:val="top"/>
          </w:tcPr>
          <w:p>
            <w:pPr>
              <w:pStyle w:val="TableText"/>
              <w:ind w:left="982"/>
              <w:spacing w:before="120" w:line="219" w:lineRule="auto"/>
              <w:rPr/>
            </w:pPr>
            <w:r>
              <w:rPr>
                <w:spacing w:val="1"/>
              </w:rPr>
              <w:t>第一发明人：2.0</w:t>
            </w:r>
          </w:p>
        </w:tc>
        <w:tc>
          <w:tcPr>
            <w:tcW w:w="171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9" w:hRule="atLeast"/>
        </w:trPr>
        <w:tc>
          <w:tcPr>
            <w:tcW w:w="279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5" w:type="dxa"/>
            <w:vAlign w:val="top"/>
          </w:tcPr>
          <w:p>
            <w:pPr>
              <w:pStyle w:val="TableText"/>
              <w:ind w:left="982"/>
              <w:spacing w:before="130" w:line="219" w:lineRule="auto"/>
              <w:rPr/>
            </w:pPr>
            <w:r>
              <w:rPr>
                <w:spacing w:val="1"/>
              </w:rPr>
              <w:t>第二发明人：0.5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5" w:hRule="atLeast"/>
        </w:trPr>
        <w:tc>
          <w:tcPr>
            <w:tcW w:w="279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5" w:type="dxa"/>
            <w:vAlign w:val="top"/>
          </w:tcPr>
          <w:p>
            <w:pPr>
              <w:pStyle w:val="TableText"/>
              <w:ind w:left="922"/>
              <w:spacing w:before="131" w:line="219" w:lineRule="auto"/>
              <w:rPr/>
            </w:pPr>
            <w:r>
              <w:rPr>
                <w:spacing w:val="1"/>
              </w:rPr>
              <w:t>第三发明人：0.25</w:t>
            </w:r>
          </w:p>
        </w:tc>
        <w:tc>
          <w:tcPr>
            <w:tcW w:w="17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8"/>
          <w:pgSz w:w="11900" w:h="16830"/>
          <w:pgMar w:top="1335" w:right="1785" w:bottom="1353" w:left="1670" w:header="0" w:footer="1013" w:gutter="0"/>
        </w:sectPr>
        <w:rPr/>
      </w:pPr>
    </w:p>
    <w:p>
      <w:pPr>
        <w:ind w:left="640"/>
        <w:spacing w:before="121" w:line="2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5"/>
        </w:rPr>
        <w:t>(二)说明：</w:t>
      </w:r>
    </w:p>
    <w:p>
      <w:pPr>
        <w:ind w:left="529"/>
        <w:spacing w:before="263" w:line="223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3"/>
        </w:rPr>
        <w:t>1.</w:t>
      </w:r>
      <w:r>
        <w:rPr>
          <w:rFonts w:ascii="Times New Roman" w:hAnsi="Times New Roman" w:eastAsia="Times New Roman" w:cs="Times New Roman"/>
          <w:sz w:val="24"/>
          <w:szCs w:val="24"/>
          <w:spacing w:val="41"/>
          <w:w w:val="10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3"/>
        </w:rPr>
        <w:t>竞赛类</w:t>
      </w:r>
    </w:p>
    <w:p>
      <w:pPr>
        <w:ind w:left="640"/>
        <w:spacing w:before="240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1"/>
        </w:rPr>
        <w:t>(1)一等奖指该比赛的最高奖项，二、三</w:t>
      </w:r>
      <w:r>
        <w:rPr>
          <w:rFonts w:ascii="FangSong" w:hAnsi="FangSong" w:eastAsia="FangSong" w:cs="FangSong"/>
          <w:sz w:val="26"/>
          <w:szCs w:val="26"/>
        </w:rPr>
        <w:t>、四等奖依此类推。</w:t>
      </w:r>
    </w:p>
    <w:p>
      <w:pPr>
        <w:ind w:left="30" w:right="88" w:firstLine="609"/>
        <w:spacing w:before="254" w:line="334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1"/>
        </w:rPr>
        <w:t>(2)竞赛项目获奖分排名先后的，按照上述计算办法计</w:t>
      </w:r>
      <w:r>
        <w:rPr>
          <w:rFonts w:ascii="FangSong" w:hAnsi="FangSong" w:eastAsia="FangSong" w:cs="FangSong"/>
          <w:sz w:val="26"/>
          <w:szCs w:val="26"/>
        </w:rPr>
        <w:t>分。竞赛项目</w:t>
      </w:r>
      <w:r>
        <w:rPr>
          <w:rFonts w:ascii="FangSong" w:hAnsi="FangSong" w:eastAsia="FangSong" w:cs="FangSong"/>
          <w:sz w:val="26"/>
          <w:szCs w:val="2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2"/>
        </w:rPr>
        <w:t>获奖人员不分排名先后的，由竞赛组织部门报学校推免领导小组审议，通</w:t>
      </w:r>
      <w:r>
        <w:rPr>
          <w:rFonts w:ascii="FangSong" w:hAnsi="FangSong" w:eastAsia="FangSong" w:cs="FangSong"/>
          <w:sz w:val="26"/>
          <w:szCs w:val="26"/>
          <w:spacing w:val="13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6"/>
        </w:rPr>
        <w:t>过后均按所获奖项最高分进行加分。</w:t>
      </w:r>
    </w:p>
    <w:p>
      <w:pPr>
        <w:pStyle w:val="BodyText"/>
        <w:spacing w:line="295" w:lineRule="auto"/>
        <w:rPr/>
      </w:pPr>
      <w:r/>
    </w:p>
    <w:p>
      <w:pPr>
        <w:ind w:left="640"/>
        <w:spacing w:before="84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</w:rPr>
        <w:t>(3)所有获奖原则上以奖状证书或主办方下发的文件为加分依据。</w:t>
      </w:r>
    </w:p>
    <w:p>
      <w:pPr>
        <w:pStyle w:val="BodyText"/>
        <w:spacing w:line="279" w:lineRule="auto"/>
        <w:rPr/>
      </w:pPr>
      <w:r/>
    </w:p>
    <w:p>
      <w:pPr>
        <w:ind w:left="529"/>
        <w:spacing w:before="84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2"/>
        </w:rPr>
        <w:t>2. </w:t>
      </w:r>
      <w:r>
        <w:rPr>
          <w:rFonts w:ascii="FangSong" w:hAnsi="FangSong" w:eastAsia="FangSong" w:cs="FangSong"/>
          <w:sz w:val="26"/>
          <w:szCs w:val="26"/>
          <w:spacing w:val="-2"/>
        </w:rPr>
        <w:t>课题(项目类)</w:t>
      </w:r>
    </w:p>
    <w:p>
      <w:pPr>
        <w:ind w:left="529"/>
        <w:spacing w:before="247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6"/>
        </w:rPr>
        <w:t>(1)仅限本科阶段申报立项或结题的省级以上课题。</w:t>
      </w:r>
    </w:p>
    <w:p>
      <w:pPr>
        <w:ind w:left="529"/>
        <w:spacing w:before="248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6"/>
        </w:rPr>
        <w:t>(2)课题只计1项，按得分最高的一项加分，不累计加分。</w:t>
      </w:r>
    </w:p>
    <w:p>
      <w:pPr>
        <w:ind w:left="30" w:right="124" w:firstLine="499"/>
        <w:spacing w:before="246" w:line="311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5"/>
        </w:rPr>
        <w:t>(3)凭结题证书或正式红头文件进行加分，立项未结题者凭立项红头文</w:t>
      </w:r>
      <w:r>
        <w:rPr>
          <w:rFonts w:ascii="FangSong" w:hAnsi="FangSong" w:eastAsia="FangSong" w:cs="FangSong"/>
          <w:sz w:val="26"/>
          <w:szCs w:val="2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10"/>
        </w:rPr>
        <w:t>件加分。</w:t>
      </w:r>
    </w:p>
    <w:p>
      <w:pPr>
        <w:ind w:left="529"/>
        <w:spacing w:before="234" w:line="221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2"/>
        </w:rPr>
        <w:t>3.</w:t>
      </w:r>
      <w:r>
        <w:rPr>
          <w:rFonts w:ascii="Times New Roman" w:hAnsi="Times New Roman" w:eastAsia="Times New Roman" w:cs="Times New Roman"/>
          <w:sz w:val="26"/>
          <w:szCs w:val="26"/>
          <w:spacing w:val="-8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2"/>
        </w:rPr>
        <w:t>论文(第一署名单位须为江西中医药大学)</w:t>
      </w:r>
    </w:p>
    <w:p>
      <w:pPr>
        <w:ind w:left="30" w:right="124" w:firstLine="499"/>
        <w:spacing w:before="258" w:line="307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5"/>
        </w:rPr>
        <w:t>(1)仅限本科阶段在省级以上刊物发表的与学业相关的科研论文。中文</w:t>
      </w:r>
      <w:r>
        <w:rPr>
          <w:rFonts w:ascii="FangSong" w:hAnsi="FangSong" w:eastAsia="FangSong" w:cs="FangSong"/>
          <w:sz w:val="26"/>
          <w:szCs w:val="2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5"/>
        </w:rPr>
        <w:t>核心期刊以北大图书馆《中文核心期刊要目总览》收载为准。</w:t>
      </w:r>
    </w:p>
    <w:p>
      <w:pPr>
        <w:ind w:left="529"/>
        <w:spacing w:before="259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6"/>
        </w:rPr>
        <w:t>(2)论文只计1篇，按得分最高的一篇加分，不累计加分。</w:t>
      </w:r>
    </w:p>
    <w:p>
      <w:pPr>
        <w:ind w:left="30" w:right="119" w:firstLine="499"/>
        <w:spacing w:before="234" w:line="309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5"/>
        </w:rPr>
        <w:t>(3)论文加分须进行公开答辩，答辩全程录音录像。未通过审核鉴定的</w:t>
      </w:r>
      <w:r>
        <w:rPr>
          <w:rFonts w:ascii="FangSong" w:hAnsi="FangSong" w:eastAsia="FangSong" w:cs="FangSong"/>
          <w:sz w:val="26"/>
          <w:szCs w:val="26"/>
          <w:spacing w:val="4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10"/>
        </w:rPr>
        <w:t>不予加分。</w:t>
      </w:r>
    </w:p>
    <w:p>
      <w:pPr>
        <w:ind w:left="529"/>
        <w:spacing w:before="251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7"/>
        </w:rPr>
        <w:t>(4)学术论文须正式发表或提供网络首发证明。</w:t>
      </w:r>
    </w:p>
    <w:p>
      <w:pPr>
        <w:ind w:right="76" w:firstLine="529"/>
        <w:spacing w:before="236" w:line="363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3"/>
        </w:rPr>
        <w:t>(5)如发表论文所在期刊在发表当年被列入中科院文献情报中心所列</w:t>
      </w:r>
      <w:r>
        <w:rPr>
          <w:rFonts w:ascii="FangSong" w:hAnsi="FangSong" w:eastAsia="FangSong" w:cs="FangSong"/>
          <w:sz w:val="26"/>
          <w:szCs w:val="26"/>
          <w:spacing w:val="3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1"/>
        </w:rPr>
        <w:t>《国际期刊预警名单》中，该论文不计入综合测评加分计算范围，增刊、</w:t>
      </w:r>
      <w:r>
        <w:rPr>
          <w:rFonts w:ascii="FangSong" w:hAnsi="FangSong" w:eastAsia="FangSong" w:cs="FangSong"/>
          <w:sz w:val="26"/>
          <w:szCs w:val="26"/>
          <w:spacing w:val="11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8"/>
        </w:rPr>
        <w:t>内刊、专辑、论文集上收集的论文不在此列，</w:t>
      </w:r>
      <w:r>
        <w:rPr>
          <w:rFonts w:ascii="Times New Roman" w:hAnsi="Times New Roman" w:eastAsia="Times New Roman" w:cs="Times New Roman"/>
          <w:sz w:val="26"/>
          <w:szCs w:val="26"/>
          <w:spacing w:val="-8"/>
        </w:rPr>
        <w:t>SCI(</w:t>
      </w:r>
      <w:r>
        <w:rPr>
          <w:rFonts w:ascii="Times New Roman" w:hAnsi="Times New Roman" w:eastAsia="Times New Roman" w:cs="Times New Roman"/>
          <w:sz w:val="26"/>
          <w:szCs w:val="26"/>
          <w:spacing w:val="-12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8"/>
        </w:rPr>
        <w:t>科学引文索引)、</w:t>
      </w:r>
      <w:r>
        <w:rPr>
          <w:rFonts w:ascii="Times New Roman" w:hAnsi="Times New Roman" w:eastAsia="Times New Roman" w:cs="Times New Roman"/>
          <w:sz w:val="26"/>
          <w:szCs w:val="26"/>
          <w:spacing w:val="-8"/>
        </w:rPr>
        <w:t>SSCI(</w:t>
      </w:r>
      <w:r>
        <w:rPr>
          <w:rFonts w:ascii="SimSun" w:hAnsi="SimSun" w:eastAsia="SimSun" w:cs="SimSun"/>
          <w:sz w:val="26"/>
          <w:szCs w:val="26"/>
          <w:spacing w:val="-8"/>
        </w:rPr>
        <w:t>社</w:t>
      </w:r>
      <w:r>
        <w:rPr>
          <w:rFonts w:ascii="SimSun" w:hAnsi="SimSun" w:eastAsia="SimSun" w:cs="SimSun"/>
          <w:sz w:val="26"/>
          <w:szCs w:val="2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10"/>
        </w:rPr>
        <w:t>会科学引文索引)、</w:t>
      </w:r>
      <w:r>
        <w:rPr>
          <w:rFonts w:ascii="Times New Roman" w:hAnsi="Times New Roman" w:eastAsia="Times New Roman" w:cs="Times New Roman"/>
          <w:sz w:val="26"/>
          <w:szCs w:val="26"/>
          <w:spacing w:val="-10"/>
        </w:rPr>
        <w:t>A&amp;HCI(</w:t>
      </w:r>
      <w:r>
        <w:rPr>
          <w:rFonts w:ascii="FangSong" w:hAnsi="FangSong" w:eastAsia="FangSong" w:cs="FangSong"/>
          <w:sz w:val="26"/>
          <w:szCs w:val="26"/>
          <w:spacing w:val="-10"/>
        </w:rPr>
        <w:t>艺术与人文科学引文索引)等外</w:t>
      </w:r>
      <w:r>
        <w:rPr>
          <w:rFonts w:ascii="FangSong" w:hAnsi="FangSong" w:eastAsia="FangSong" w:cs="FangSong"/>
          <w:sz w:val="26"/>
          <w:szCs w:val="26"/>
          <w:spacing w:val="-11"/>
        </w:rPr>
        <w:t>文索引收录的研究</w:t>
      </w:r>
      <w:r>
        <w:rPr>
          <w:rFonts w:ascii="FangSong" w:hAnsi="FangSong" w:eastAsia="FangSong" w:cs="FangSong"/>
          <w:sz w:val="26"/>
          <w:szCs w:val="2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30"/>
        </w:rPr>
        <w:t>摘要、会议综述、会议通讯、书评和收录的会议论文均视</w:t>
      </w:r>
      <w:r>
        <w:rPr>
          <w:rFonts w:ascii="FangSong" w:hAnsi="FangSong" w:eastAsia="FangSong" w:cs="FangSong"/>
          <w:sz w:val="26"/>
          <w:szCs w:val="26"/>
          <w:spacing w:val="-31"/>
        </w:rPr>
        <w:t>为一般学术论文。</w:t>
      </w:r>
    </w:p>
    <w:p>
      <w:pPr>
        <w:spacing w:line="363" w:lineRule="auto"/>
        <w:sectPr>
          <w:footerReference w:type="default" r:id="rId19"/>
          <w:pgSz w:w="11900" w:h="16830"/>
          <w:pgMar w:top="1430" w:right="1785" w:bottom="1314" w:left="1689" w:header="0" w:footer="99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ind w:left="734"/>
        <w:spacing w:before="128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5"/>
        </w:rPr>
        <w:t>4. </w:t>
      </w:r>
      <w:r>
        <w:rPr>
          <w:rFonts w:ascii="FangSong" w:hAnsi="FangSong" w:eastAsia="FangSong" w:cs="FangSong"/>
          <w:sz w:val="26"/>
          <w:szCs w:val="26"/>
          <w:spacing w:val="-5"/>
        </w:rPr>
        <w:t>发明专利</w:t>
      </w:r>
    </w:p>
    <w:p>
      <w:pPr>
        <w:ind w:left="245" w:right="383" w:firstLine="489"/>
        <w:spacing w:before="244" w:line="391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4"/>
        </w:rPr>
        <w:t>学生为发明人，江西中医药大学为申请人，需出具国家知识产权局颁</w:t>
      </w:r>
      <w:r>
        <w:rPr>
          <w:rFonts w:ascii="FangSong" w:hAnsi="FangSong" w:eastAsia="FangSong" w:cs="FangSong"/>
          <w:sz w:val="26"/>
          <w:szCs w:val="2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6"/>
        </w:rPr>
        <w:t>发的专利证书，且发明专利应与本专业领域相关。</w:t>
      </w:r>
    </w:p>
    <w:p>
      <w:pPr>
        <w:ind w:left="245" w:right="414" w:firstLine="489"/>
        <w:spacing w:before="1" w:line="393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3"/>
        </w:rPr>
        <w:t>5. </w:t>
      </w:r>
      <w:r>
        <w:rPr>
          <w:rFonts w:ascii="FangSong" w:hAnsi="FangSong" w:eastAsia="FangSong" w:cs="FangSong"/>
          <w:sz w:val="26"/>
          <w:szCs w:val="26"/>
          <w:spacing w:val="3"/>
        </w:rPr>
        <w:t>其他。竞赛、课题、论文、专利各取一项最高奖项(分值)计分，</w:t>
      </w:r>
      <w:r>
        <w:rPr>
          <w:rFonts w:ascii="FangSong" w:hAnsi="FangSong" w:eastAsia="FangSong" w:cs="FangSong"/>
          <w:sz w:val="26"/>
          <w:szCs w:val="26"/>
          <w:spacing w:val="13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8"/>
        </w:rPr>
        <w:t>同一类型计分不累计。</w:t>
      </w:r>
    </w:p>
    <w:p>
      <w:pPr>
        <w:ind w:left="249"/>
        <w:spacing w:before="1" w:line="220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22"/>
        </w:rPr>
        <w:t>二、荣誉表彰类</w:t>
      </w:r>
    </w:p>
    <w:p>
      <w:pPr>
        <w:ind w:left="249"/>
        <w:spacing w:before="187" w:line="230" w:lineRule="auto"/>
        <w:outlineLvl w:val="2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b/>
          <w:bCs/>
          <w:spacing w:val="-8"/>
        </w:rPr>
        <w:t>(一)加分项目及分值</w:t>
      </w:r>
    </w:p>
    <w:p>
      <w:pPr>
        <w:spacing w:line="31" w:lineRule="exact"/>
        <w:rPr/>
      </w:pPr>
      <w:r/>
    </w:p>
    <w:tbl>
      <w:tblPr>
        <w:tblStyle w:val="TableNormal"/>
        <w:tblW w:w="878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647"/>
        <w:gridCol w:w="2142"/>
      </w:tblGrid>
      <w:tr>
        <w:trPr>
          <w:trHeight w:val="734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3098"/>
              <w:spacing w:before="26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类型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631"/>
              <w:spacing w:before="26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最高分值</w:t>
            </w:r>
          </w:p>
        </w:tc>
      </w:tr>
      <w:tr>
        <w:trPr>
          <w:trHeight w:val="729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2434"/>
              <w:spacing w:before="26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全国优秀共产党员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847"/>
              <w:spacing w:before="281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5"/>
              </w:rPr>
              <w:t>10.0</w:t>
            </w:r>
          </w:p>
        </w:tc>
      </w:tr>
      <w:tr>
        <w:trPr>
          <w:trHeight w:val="560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344"/>
              <w:spacing w:before="16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全国五四青年奖章、全国自强之星标兵、全国大学生年度人物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897"/>
              <w:spacing w:before="192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8.0</w:t>
            </w:r>
          </w:p>
        </w:tc>
      </w:tr>
      <w:tr>
        <w:trPr>
          <w:trHeight w:val="679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1442" w:hanging="1428"/>
              <w:spacing w:before="20" w:line="27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大学生自强之星、全国最美大学生、全国优秀共青团员、全国向上向善</w:t>
            </w:r>
            <w:r>
              <w:rPr>
                <w:sz w:val="22"/>
                <w:szCs w:val="22"/>
                <w:spacing w:val="18"/>
              </w:rPr>
              <w:t xml:space="preserve"> </w:t>
            </w:r>
            <w:r>
              <w:rPr>
                <w:sz w:val="22"/>
                <w:szCs w:val="22"/>
                <w:spacing w:val="-1"/>
              </w:rPr>
              <w:t>好青年、中国青年志愿者优秀个人奖等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897"/>
              <w:spacing w:before="252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5.0</w:t>
            </w:r>
          </w:p>
        </w:tc>
      </w:tr>
      <w:tr>
        <w:trPr>
          <w:trHeight w:val="539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1334"/>
              <w:spacing w:before="16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全国暑期“三下乡”社会实践先进个人等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897"/>
              <w:spacing w:before="183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3.0</w:t>
            </w:r>
          </w:p>
        </w:tc>
      </w:tr>
      <w:tr>
        <w:trPr>
          <w:trHeight w:val="689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2650" w:hanging="2636"/>
              <w:spacing w:before="21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自强之星、最美大学生、优秀团员、优秀团干、暑期“三下乡”社会实</w:t>
            </w:r>
            <w:r>
              <w:rPr>
                <w:sz w:val="22"/>
                <w:szCs w:val="22"/>
                <w:spacing w:val="18"/>
              </w:rPr>
              <w:t xml:space="preserve"> </w:t>
            </w:r>
            <w:r>
              <w:rPr>
                <w:sz w:val="22"/>
                <w:szCs w:val="22"/>
                <w:spacing w:val="1"/>
              </w:rPr>
              <w:t>践先进个人等</w:t>
            </w:r>
          </w:p>
        </w:tc>
        <w:tc>
          <w:tcPr>
            <w:tcW w:w="2142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7"/>
              <w:spacing w:before="7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2.0</w:t>
            </w:r>
          </w:p>
        </w:tc>
      </w:tr>
      <w:tr>
        <w:trPr>
          <w:trHeight w:val="549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2764"/>
              <w:spacing w:before="17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国家奖学金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897"/>
              <w:spacing w:before="195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2.0</w:t>
            </w:r>
          </w:p>
        </w:tc>
      </w:tr>
      <w:tr>
        <w:trPr>
          <w:trHeight w:val="550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2655"/>
              <w:spacing w:before="17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国际组织实习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897"/>
              <w:spacing w:before="196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2.0</w:t>
            </w:r>
          </w:p>
        </w:tc>
      </w:tr>
      <w:tr>
        <w:trPr>
          <w:trHeight w:val="539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785"/>
              <w:spacing w:before="16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曾连续两年被评为优秀士兵或荣立三等功的退役军人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897"/>
              <w:spacing w:before="186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5.0</w:t>
            </w:r>
          </w:p>
        </w:tc>
      </w:tr>
      <w:tr>
        <w:trPr>
          <w:trHeight w:val="559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1995"/>
              <w:spacing w:before="17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曾获评优秀士兵的退役军人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897"/>
              <w:spacing w:before="197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3.0</w:t>
            </w:r>
          </w:p>
        </w:tc>
      </w:tr>
      <w:tr>
        <w:trPr>
          <w:trHeight w:val="550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2875"/>
              <w:spacing w:before="17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退役军人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897"/>
              <w:spacing w:before="198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2.0</w:t>
            </w:r>
          </w:p>
        </w:tc>
      </w:tr>
      <w:tr>
        <w:trPr>
          <w:trHeight w:val="549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2875"/>
              <w:spacing w:before="17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志愿服务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ind w:left="897"/>
              <w:spacing w:before="198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0.5</w:t>
            </w:r>
          </w:p>
        </w:tc>
      </w:tr>
      <w:tr>
        <w:trPr>
          <w:trHeight w:val="1354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14" w:firstLine="59"/>
              <w:spacing w:before="42" w:line="273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学生个人先进事迹(包括但不限于见义勇为),在中央及省级</w:t>
            </w:r>
            <w:r>
              <w:rPr>
                <w:sz w:val="22"/>
                <w:szCs w:val="22"/>
                <w:spacing w:val="-4"/>
              </w:rPr>
              <w:t>主要媒体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6"/>
              </w:rPr>
              <w:t>和学校官网官微报道，受到广大师生和社会的广泛关注和赞</w:t>
            </w:r>
            <w:r>
              <w:rPr>
                <w:sz w:val="22"/>
                <w:szCs w:val="22"/>
                <w:spacing w:val="-17"/>
              </w:rPr>
              <w:t>誉，由学院直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spacing w:val="-13"/>
              </w:rPr>
              <w:t>接推荐，经党委宣传部审核、学校推免领导小组审定，视其社会关</w:t>
            </w:r>
            <w:r>
              <w:rPr>
                <w:sz w:val="22"/>
                <w:szCs w:val="22"/>
                <w:spacing w:val="-14"/>
              </w:rPr>
              <w:t>注度、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社会贡献度等可酌情加分。</w:t>
            </w:r>
          </w:p>
        </w:tc>
        <w:tc>
          <w:tcPr>
            <w:tcW w:w="2142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7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5-8分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0"/>
          <w:pgSz w:w="11900" w:h="16830"/>
          <w:pgMar w:top="1430" w:right="1635" w:bottom="1308" w:left="1465" w:header="0" w:footer="1054" w:gutter="0"/>
        </w:sectPr>
        <w:rPr/>
      </w:pPr>
    </w:p>
    <w:p>
      <w:pPr>
        <w:ind w:left="684"/>
        <w:spacing w:before="60" w:line="232" w:lineRule="auto"/>
        <w:outlineLvl w:val="2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b/>
          <w:bCs/>
          <w:spacing w:val="-1"/>
        </w:rPr>
        <w:t>(二)说明</w:t>
      </w:r>
    </w:p>
    <w:p>
      <w:pPr>
        <w:ind w:left="499"/>
        <w:spacing w:before="188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5"/>
        </w:rPr>
        <w:t>1. </w:t>
      </w:r>
      <w:r>
        <w:rPr>
          <w:rFonts w:ascii="FangSong" w:hAnsi="FangSong" w:eastAsia="FangSong" w:cs="FangSong"/>
          <w:sz w:val="26"/>
          <w:szCs w:val="26"/>
          <w:spacing w:val="-5"/>
        </w:rPr>
        <w:t>荣誉表彰类得分取最高加分项计入，不累计加分。</w:t>
      </w:r>
    </w:p>
    <w:p>
      <w:pPr>
        <w:ind w:right="198" w:firstLine="499"/>
        <w:spacing w:before="156" w:line="271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3"/>
        </w:rPr>
        <w:t>2. </w:t>
      </w:r>
      <w:r>
        <w:rPr>
          <w:rFonts w:ascii="FangSong" w:hAnsi="FangSong" w:eastAsia="FangSong" w:cs="FangSong"/>
          <w:sz w:val="26"/>
          <w:szCs w:val="26"/>
          <w:spacing w:val="-3"/>
        </w:rPr>
        <w:t>志愿服务加分需满足志愿服务时长平均不少</w:t>
      </w:r>
      <w:r>
        <w:rPr>
          <w:rFonts w:ascii="FangSong" w:hAnsi="FangSong" w:eastAsia="FangSong" w:cs="FangSong"/>
          <w:sz w:val="26"/>
          <w:szCs w:val="26"/>
          <w:spacing w:val="-4"/>
        </w:rPr>
        <w:t>于30小时/学年(以江西</w:t>
      </w:r>
      <w:r>
        <w:rPr>
          <w:rFonts w:ascii="FangSong" w:hAnsi="FangSong" w:eastAsia="FangSong" w:cs="FangSong"/>
          <w:sz w:val="26"/>
          <w:szCs w:val="2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8"/>
        </w:rPr>
        <w:t>文明网打卡记录为准)。</w:t>
      </w:r>
    </w:p>
    <w:p>
      <w:pPr>
        <w:ind w:right="191" w:firstLine="499"/>
        <w:spacing w:before="157" w:line="306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4"/>
        </w:rPr>
        <w:t>3. </w:t>
      </w:r>
      <w:r>
        <w:rPr>
          <w:rFonts w:ascii="FangSong" w:hAnsi="FangSong" w:eastAsia="FangSong" w:cs="FangSong"/>
          <w:sz w:val="26"/>
          <w:szCs w:val="26"/>
          <w:spacing w:val="-4"/>
        </w:rPr>
        <w:t>到国际组织实习，需经由学校派遣或审核同意，实习地点应为境外</w:t>
      </w:r>
      <w:r>
        <w:rPr>
          <w:rFonts w:ascii="FangSong" w:hAnsi="FangSong" w:eastAsia="FangSong" w:cs="FangSong"/>
          <w:sz w:val="26"/>
          <w:szCs w:val="26"/>
          <w:spacing w:val="1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5"/>
        </w:rPr>
        <w:t>国际组织的总部或地区办事处，包括政府间国际组织和具有重要影响力的</w:t>
      </w:r>
      <w:r>
        <w:rPr>
          <w:rFonts w:ascii="FangSong" w:hAnsi="FangSong" w:eastAsia="FangSong" w:cs="FangSong"/>
          <w:sz w:val="26"/>
          <w:szCs w:val="26"/>
          <w:spacing w:val="14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4"/>
        </w:rPr>
        <w:t>非政府间国际组织，国际组织的界定主要依据外交部、教育部的官方网站</w:t>
      </w:r>
      <w:r>
        <w:rPr>
          <w:rFonts w:ascii="FangSong" w:hAnsi="FangSong" w:eastAsia="FangSong" w:cs="FangSong"/>
          <w:sz w:val="26"/>
          <w:szCs w:val="2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4"/>
        </w:rPr>
        <w:t>公布的国际组织机构或者国际组织实习项目进行确认，实习时</w:t>
      </w:r>
      <w:r>
        <w:rPr>
          <w:rFonts w:ascii="FangSong" w:hAnsi="FangSong" w:eastAsia="FangSong" w:cs="FangSong"/>
          <w:sz w:val="26"/>
          <w:szCs w:val="26"/>
          <w:spacing w:val="-5"/>
        </w:rPr>
        <w:t>间原则上般</w:t>
      </w:r>
      <w:r>
        <w:rPr>
          <w:rFonts w:ascii="FangSong" w:hAnsi="FangSong" w:eastAsia="FangSong" w:cs="FangSong"/>
          <w:sz w:val="26"/>
          <w:szCs w:val="2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8"/>
        </w:rPr>
        <w:t>不少于3个月。</w:t>
      </w:r>
    </w:p>
    <w:p>
      <w:pPr>
        <w:ind w:right="190" w:firstLine="499"/>
        <w:spacing w:before="172" w:line="279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4"/>
        </w:rPr>
        <w:t>4.学生在校期间新增的省级及以上荣誉表彰类项目，经学校认定，均</w:t>
      </w:r>
      <w:r>
        <w:rPr>
          <w:rFonts w:ascii="FangSong" w:hAnsi="FangSong" w:eastAsia="FangSong" w:cs="FangSong"/>
          <w:sz w:val="26"/>
          <w:szCs w:val="26"/>
          <w:spacing w:val="17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6"/>
        </w:rPr>
        <w:t>纳入学生推免当年的计分体系。</w:t>
      </w:r>
    </w:p>
    <w:p>
      <w:pPr>
        <w:ind w:left="459"/>
        <w:spacing w:before="180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41"/>
          <w:w w:val="96"/>
        </w:rPr>
        <w:t>三、其他</w:t>
      </w:r>
    </w:p>
    <w:p>
      <w:pPr>
        <w:ind w:right="83" w:firstLine="499"/>
        <w:spacing w:before="194" w:line="276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4"/>
        </w:rPr>
        <w:t>1.以上加分项目证明材料的截止日期为当年的8月31日，原则上以证书</w:t>
      </w:r>
      <w:r>
        <w:rPr>
          <w:rFonts w:ascii="FangSong" w:hAnsi="FangSong" w:eastAsia="FangSong" w:cs="FangSong"/>
          <w:sz w:val="26"/>
          <w:szCs w:val="26"/>
          <w:spacing w:val="2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7"/>
        </w:rPr>
        <w:t>或正式文件下发时间为准。</w:t>
      </w:r>
    </w:p>
    <w:p>
      <w:pPr>
        <w:ind w:left="499"/>
        <w:spacing w:before="157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4"/>
        </w:rPr>
        <w:t>2.</w:t>
      </w:r>
      <w:r>
        <w:rPr>
          <w:rFonts w:ascii="Times New Roman" w:hAnsi="Times New Roman" w:eastAsia="Times New Roman" w:cs="Times New Roman"/>
          <w:sz w:val="26"/>
          <w:szCs w:val="26"/>
          <w:spacing w:val="-2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4"/>
        </w:rPr>
        <w:t>各类项目总得分不得超过10分。</w:t>
      </w:r>
    </w:p>
    <w:sectPr>
      <w:footerReference w:type="default" r:id="rId21"/>
      <w:pgSz w:w="11900" w:h="16830"/>
      <w:pgMar w:top="1345" w:right="1785" w:bottom="1294" w:left="1730" w:header="0" w:footer="97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59"/>
      <w:spacing w:before="1" w:line="233" w:lineRule="auto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</w:t>
    </w:r>
    <w:r>
      <w:rPr>
        <w:rFonts w:ascii="SimSun" w:hAnsi="SimSun" w:eastAsia="SimSun" w:cs="SimSun"/>
        <w:sz w:val="24"/>
        <w:szCs w:val="24"/>
        <w:strike/>
        <w:spacing w:val="-3"/>
      </w:rPr>
      <w:t>2</w:t>
    </w:r>
    <w:r>
      <w:rPr>
        <w:rFonts w:ascii="SimSun" w:hAnsi="SimSun" w:eastAsia="SimSun" w:cs="SimSun"/>
        <w:sz w:val="24"/>
        <w:szCs w:val="24"/>
        <w:spacing w:val="-3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9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4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9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—6—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19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—7—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3"/>
      </w:rPr>
      <w:t>—8—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99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—9—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5"/>
      <w:spacing w:before="1" w:line="232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—10—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174"/>
      <w:spacing w:line="233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2"/>
      </w:rPr>
      <w:t>—11—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3" w:lineRule="auto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3"/>
      </w:rPr>
      <w:t>—12—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20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2"/>
      </w:rPr>
      <w:t>—13—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05"/>
      <w:spacing w:line="173" w:lineRule="auto"/>
      <w:rPr>
        <w:rFonts w:ascii="SimSun" w:hAnsi="SimSun" w:eastAsia="SimSun" w:cs="SimSun"/>
        <w:sz w:val="26"/>
        <w:szCs w:val="26"/>
      </w:rPr>
    </w:pPr>
    <w:r>
      <w:rPr>
        <w:rFonts w:ascii="Times New Roman" w:hAnsi="Times New Roman" w:eastAsia="Times New Roman" w:cs="Times New Roman"/>
        <w:sz w:val="26"/>
        <w:szCs w:val="26"/>
        <w:b/>
        <w:bCs/>
      </w:rPr>
      <w:t>—14</w:t>
    </w:r>
    <w:r>
      <w:rPr>
        <w:rFonts w:ascii="Times New Roman" w:hAnsi="Times New Roman" w:eastAsia="Times New Roman" w:cs="Times New Roman"/>
        <w:sz w:val="26"/>
        <w:szCs w:val="26"/>
        <w:b/>
        <w:bCs/>
        <w:spacing w:val="12"/>
      </w:rPr>
      <w:t xml:space="preserve">    </w:t>
    </w:r>
    <w:r>
      <w:rPr>
        <w:rFonts w:ascii="SimSun" w:hAnsi="SimSun" w:eastAsia="SimSun" w:cs="SimSun"/>
        <w:sz w:val="26"/>
        <w:szCs w:val="26"/>
      </w:rPr>
      <w:t>—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179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2"/>
      </w:rPr>
      <w:t>—15—</w:t>
    </w:r>
    <w:r>
      <w:rPr>
        <w:rFonts w:ascii="SimSun" w:hAnsi="SimSun" w:eastAsia="SimSun" w:cs="SimSun"/>
        <w:sz w:val="25"/>
        <w:szCs w:val="25"/>
        <w:spacing w:val="-38"/>
      </w:rPr>
      <w:t xml:space="preserve"> </w:t>
    </w:r>
    <w:r>
      <w:rPr>
        <w:rFonts w:ascii="SimSun" w:hAnsi="SimSun" w:eastAsia="SimSun" w:cs="SimSun"/>
        <w:sz w:val="25"/>
        <w:szCs w:val="25"/>
        <w:strike/>
      </w:rPr>
      <w:t xml:space="preserve">   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image" Target="media/image5.png"/><Relationship Id="rId6" Type="http://schemas.openxmlformats.org/officeDocument/2006/relationships/footer" Target="footer2.xml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24" Type="http://schemas.openxmlformats.org/officeDocument/2006/relationships/fontTable" Target="fontTable.xml"/><Relationship Id="rId23" Type="http://schemas.openxmlformats.org/officeDocument/2006/relationships/styles" Target="styles.xml"/><Relationship Id="rId22" Type="http://schemas.openxmlformats.org/officeDocument/2006/relationships/settings" Target="settings.xml"/><Relationship Id="rId21" Type="http://schemas.openxmlformats.org/officeDocument/2006/relationships/footer" Target="footer15.xml"/><Relationship Id="rId20" Type="http://schemas.openxmlformats.org/officeDocument/2006/relationships/footer" Target="footer14.xml"/><Relationship Id="rId2" Type="http://schemas.openxmlformats.org/officeDocument/2006/relationships/image" Target="media/image1.jpeg"/><Relationship Id="rId19" Type="http://schemas.openxmlformats.org/officeDocument/2006/relationships/footer" Target="footer13.xml"/><Relationship Id="rId18" Type="http://schemas.openxmlformats.org/officeDocument/2006/relationships/footer" Target="footer12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hyperlink" Target="http://yz.chsi.com.cn/tm" TargetMode="Externa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2026-09-11T17:10:20Z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2026-09-11T17:10:21</vt:filetime>
  </property>
  <property fmtid="{D5CDD505-2E9C-101B-9397-08002B2CF9AE}" pid="4" name="UsrData">
    <vt:lpwstr>6aa3c5792f7252001f6108f1wl</vt:lpwstr>
  </property>
</Properties>
</file>