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材料科学与工程学院2026年推荐优秀应届本科毕业生免试攻读研究生工作实施办法-上海大学材料科学与工程学院</w:t>
      </w:r>
    </w:p>
    <w:p>
      <w:pPr>
        <w:spacing w:line="360" w:lineRule="auto" w:before="0" w:after="80"/>
        <w:ind w:firstLine="482"/>
        <w:jc w:val="both"/>
      </w:pPr>
      <w:r>
        <w:rPr>
          <w:rFonts w:ascii="Times New Roman" w:hAnsi="Times New Roman" w:eastAsia="宋体"/>
          <w:b w:val="0"/>
          <w:sz w:val="24"/>
        </w:rPr>
        <w:t>根据《上大内〔2025〕151号-上海大学2026年推荐优秀应届本科毕业生免试攻读研究生工作实施办法》精神，制订本标准和实施办法。</w:t>
      </w:r>
    </w:p>
    <w:p>
      <w:pPr>
        <w:spacing w:line="360" w:lineRule="auto" w:before="160" w:after="80"/>
        <w:ind w:firstLine="0"/>
        <w:jc w:val="left"/>
      </w:pPr>
      <w:r>
        <w:rPr>
          <w:rFonts w:ascii="Times New Roman" w:hAnsi="Times New Roman" w:eastAsia="宋体"/>
          <w:b/>
          <w:sz w:val="28"/>
        </w:rPr>
        <w:t>一、推免工作原则</w:t>
      </w:r>
    </w:p>
    <w:p>
      <w:pPr>
        <w:spacing w:line="360" w:lineRule="auto" w:before="160" w:after="80"/>
        <w:ind w:firstLine="0"/>
        <w:jc w:val="left"/>
      </w:pPr>
      <w:r>
        <w:rPr>
          <w:rFonts w:ascii="Times New Roman" w:hAnsi="Times New Roman" w:eastAsia="宋体"/>
          <w:b/>
          <w:sz w:val="28"/>
        </w:rPr>
        <w:t>1.坚持服务战略，选拔培养高层次急需人才。优先向“战略急需”领域倾斜，优先向“培优学科”领域倾斜，优先向“拔尖创新”领域倾斜。</w:t>
      </w:r>
    </w:p>
    <w:p>
      <w:pPr>
        <w:spacing w:line="360" w:lineRule="auto" w:before="0" w:after="80"/>
        <w:ind w:firstLine="482"/>
        <w:jc w:val="both"/>
      </w:pPr>
      <w:r>
        <w:rPr>
          <w:rFonts w:ascii="Times New Roman" w:hAnsi="Times New Roman" w:eastAsia="宋体"/>
          <w:b w:val="0"/>
          <w:sz w:val="24"/>
        </w:rPr>
        <w:t>2.坚持立德树人，坚持科学评价，促进学生全面发展。思想品德考核不合格者不予推荐和录取。以合理方式全面考查学生的思想政治品德。建立科学遴选的评价体系，突出考察本科阶段的学业表现，严格审定综合评价加分指标。</w:t>
      </w:r>
    </w:p>
    <w:p>
      <w:pPr>
        <w:spacing w:line="360" w:lineRule="auto" w:before="160" w:after="80"/>
        <w:ind w:firstLine="0"/>
        <w:jc w:val="left"/>
      </w:pPr>
      <w:r>
        <w:rPr>
          <w:rFonts w:ascii="Times New Roman" w:hAnsi="Times New Roman" w:eastAsia="宋体"/>
          <w:b/>
          <w:sz w:val="28"/>
        </w:rPr>
        <w:t>3.坚持以人为本，切实保障学生权益。充分保障学生知情权和申诉渠道畅通。建立完善接诉即办机制，对相关申诉举报及时调查处理并予以反馈。</w:t>
      </w:r>
    </w:p>
    <w:p>
      <w:pPr>
        <w:spacing w:line="360" w:lineRule="auto" w:before="0" w:after="80"/>
        <w:ind w:firstLine="482"/>
        <w:jc w:val="both"/>
      </w:pPr>
      <w:r>
        <w:rPr>
          <w:rFonts w:ascii="Times New Roman" w:hAnsi="Times New Roman" w:eastAsia="宋体"/>
          <w:b w:val="0"/>
          <w:sz w:val="24"/>
        </w:rPr>
        <w:t>4.坚持严格管理，全力维护公正公平。逐级压实主体责任。强化学校层面的统筹推进，充分研究、集体决策，建立健全推免工作规章制度、人员管理制度、回避制度，严格执行政策，严肃查处违规行为。</w:t>
      </w:r>
    </w:p>
    <w:p>
      <w:pPr>
        <w:spacing w:line="360" w:lineRule="auto" w:before="160" w:after="80"/>
        <w:ind w:firstLine="0"/>
        <w:jc w:val="left"/>
      </w:pPr>
      <w:r>
        <w:rPr>
          <w:rFonts w:ascii="Times New Roman" w:hAnsi="Times New Roman" w:eastAsia="宋体"/>
          <w:b/>
          <w:sz w:val="28"/>
        </w:rPr>
        <w:t>二、各专业推免名额的分配</w:t>
      </w:r>
    </w:p>
    <w:p>
      <w:pPr>
        <w:spacing w:line="360" w:lineRule="auto" w:before="0" w:after="80"/>
        <w:ind w:firstLine="482"/>
        <w:jc w:val="both"/>
      </w:pPr>
      <w:r>
        <w:rPr>
          <w:rFonts w:ascii="Times New Roman" w:hAnsi="Times New Roman" w:eastAsia="宋体"/>
          <w:b w:val="0"/>
          <w:sz w:val="24"/>
        </w:rPr>
        <w:t>教育部通过“中国研究生招生信息网管理平台—推免服务系统”已下达给我校2026年推免总名额，含“国防科工招生单位接收外校推免生”专项，另已下达“研究生支教团”专项名额。</w:t>
      </w:r>
    </w:p>
    <w:p>
      <w:pPr>
        <w:spacing w:line="360" w:lineRule="auto" w:before="0" w:after="80"/>
        <w:ind w:firstLine="482"/>
        <w:jc w:val="both"/>
      </w:pPr>
      <w:r>
        <w:rPr>
          <w:rFonts w:ascii="Times New Roman" w:hAnsi="Times New Roman" w:eastAsia="宋体"/>
          <w:b w:val="0"/>
          <w:sz w:val="24"/>
        </w:rPr>
        <w:t>学校不断优化名额分配办法，以增量精准支持带动存量稳步优化。学校坚持稳步优化存量结构，按照专业毕业生人数、上年度学生考研情况及学位点建设等情况进行名额分配。学校科学确定本单位重点支持的专业范围，重点向三个领域倾斜，一是优先向“战略急需”领域倾斜，二是优先向“培优学科”领域倾斜，三是优先向“拔尖创新”领域倾斜，全面衔接高考拔尖创新人才选拔试点、部级层面部署的面向本科在校生二次遴选的创新人才选拔项目。各学院专业具体分配名额下达至各学院。</w:t>
      </w:r>
    </w:p>
    <w:p>
      <w:pPr>
        <w:spacing w:line="360" w:lineRule="auto" w:before="0" w:after="80"/>
        <w:ind w:firstLine="482"/>
        <w:jc w:val="both"/>
      </w:pPr>
      <w:r>
        <w:rPr>
          <w:rFonts w:ascii="Times New Roman" w:hAnsi="Times New Roman" w:eastAsia="宋体"/>
          <w:b w:val="0"/>
          <w:sz w:val="24"/>
        </w:rPr>
        <w:t>如果各专业符合学校推荐基本条件的学生数少于学校分配的推荐名额，多出的名额由学校推免生遴选工作领导小组统筹安排。</w:t>
      </w:r>
    </w:p>
    <w:p>
      <w:pPr>
        <w:spacing w:line="360" w:lineRule="auto" w:before="160" w:after="80"/>
        <w:ind w:firstLine="0"/>
        <w:jc w:val="left"/>
      </w:pPr>
      <w:r>
        <w:rPr>
          <w:rFonts w:ascii="Times New Roman" w:hAnsi="Times New Roman" w:eastAsia="宋体"/>
          <w:b/>
          <w:sz w:val="28"/>
        </w:rPr>
        <w:t>（1） 学校分配给材料学院各专业的普通推荐名额如下：</w:t>
      </w:r>
    </w:p>
    <w:p>
      <w:pPr>
        <w:spacing w:line="360" w:lineRule="auto" w:before="120" w:after="60"/>
        <w:ind w:firstLine="0"/>
        <w:jc w:val="left"/>
      </w:pPr>
      <w:r>
        <w:rPr>
          <w:rFonts w:ascii="Times New Roman" w:hAnsi="Times New Roman" w:eastAsia="宋体"/>
          <w:b/>
          <w:sz w:val="24"/>
        </w:rPr>
        <w:t>专业</w:t>
      </w:r>
    </w:p>
    <w:p>
      <w:pPr>
        <w:spacing w:line="360" w:lineRule="auto" w:before="120" w:after="60"/>
        <w:ind w:firstLine="0"/>
        <w:jc w:val="left"/>
      </w:pPr>
      <w:r>
        <w:rPr>
          <w:rFonts w:ascii="Times New Roman" w:hAnsi="Times New Roman" w:eastAsia="宋体"/>
          <w:b/>
          <w:sz w:val="24"/>
        </w:rPr>
        <w:t>推免</w:t>
      </w:r>
    </w:p>
    <w:p>
      <w:pPr>
        <w:spacing w:line="360" w:lineRule="auto" w:before="120" w:after="60"/>
        <w:ind w:firstLine="0"/>
        <w:jc w:val="left"/>
      </w:pPr>
      <w:r>
        <w:rPr>
          <w:rFonts w:ascii="Times New Roman" w:hAnsi="Times New Roman" w:eastAsia="宋体"/>
          <w:b/>
          <w:sz w:val="24"/>
        </w:rPr>
        <w:t>总名额</w:t>
      </w:r>
    </w:p>
    <w:p>
      <w:pPr>
        <w:spacing w:line="360" w:lineRule="auto" w:before="120" w:after="60"/>
        <w:ind w:firstLine="0"/>
        <w:jc w:val="left"/>
      </w:pPr>
      <w:r>
        <w:rPr>
          <w:rFonts w:ascii="Times New Roman" w:hAnsi="Times New Roman" w:eastAsia="宋体"/>
          <w:b/>
          <w:sz w:val="24"/>
        </w:rPr>
        <w:t>可推荐</w:t>
      </w:r>
    </w:p>
    <w:p>
      <w:pPr>
        <w:spacing w:line="360" w:lineRule="auto" w:before="120" w:after="60"/>
        <w:ind w:firstLine="0"/>
        <w:jc w:val="left"/>
      </w:pPr>
      <w:r>
        <w:rPr>
          <w:rFonts w:ascii="Times New Roman" w:hAnsi="Times New Roman" w:eastAsia="宋体"/>
          <w:b/>
          <w:sz w:val="24"/>
        </w:rPr>
        <w:t>总人数</w:t>
      </w:r>
    </w:p>
    <w:p>
      <w:pPr>
        <w:spacing w:line="360" w:lineRule="auto" w:before="120" w:after="60"/>
        <w:ind w:firstLine="0"/>
        <w:jc w:val="left"/>
      </w:pPr>
      <w:r>
        <w:rPr>
          <w:rFonts w:ascii="Times New Roman" w:hAnsi="Times New Roman" w:eastAsia="宋体"/>
          <w:b/>
          <w:sz w:val="24"/>
        </w:rPr>
        <w:t>名称</w:t>
      </w:r>
    </w:p>
    <w:p>
      <w:pPr>
        <w:spacing w:line="360" w:lineRule="auto" w:before="120" w:after="60"/>
        <w:ind w:firstLine="0"/>
        <w:jc w:val="left"/>
      </w:pPr>
      <w:r>
        <w:rPr>
          <w:rFonts w:ascii="Times New Roman" w:hAnsi="Times New Roman" w:eastAsia="宋体"/>
          <w:b/>
          <w:sz w:val="24"/>
        </w:rPr>
        <w:t>推免名额</w:t>
      </w:r>
    </w:p>
    <w:p>
      <w:pPr>
        <w:spacing w:line="360" w:lineRule="auto" w:before="120" w:after="60"/>
        <w:ind w:firstLine="0"/>
        <w:jc w:val="left"/>
      </w:pPr>
      <w:r>
        <w:rPr>
          <w:rFonts w:ascii="Times New Roman" w:hAnsi="Times New Roman" w:eastAsia="宋体"/>
          <w:b/>
          <w:sz w:val="24"/>
        </w:rPr>
        <w:t>可推荐人数</w:t>
      </w:r>
    </w:p>
    <w:p>
      <w:pPr>
        <w:spacing w:line="360" w:lineRule="auto" w:before="120" w:after="60"/>
        <w:ind w:firstLine="0"/>
        <w:jc w:val="left"/>
      </w:pPr>
      <w:r>
        <w:rPr>
          <w:rFonts w:ascii="Times New Roman" w:hAnsi="Times New Roman" w:eastAsia="宋体"/>
          <w:b/>
          <w:sz w:val="24"/>
        </w:rPr>
        <w:t>电子科学与技术</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18</w:t>
      </w:r>
    </w:p>
    <w:p>
      <w:pPr>
        <w:spacing w:line="360" w:lineRule="auto" w:before="0" w:after="80"/>
        <w:ind w:firstLine="482"/>
        <w:jc w:val="both"/>
      </w:pPr>
      <w:r>
        <w:rPr>
          <w:rFonts w:ascii="Times New Roman" w:hAnsi="Times New Roman" w:eastAsia="宋体"/>
          <w:b w:val="0"/>
          <w:sz w:val="24"/>
        </w:rPr>
        <w:t>56</w:t>
      </w:r>
    </w:p>
    <w:p>
      <w:pPr>
        <w:spacing w:line="360" w:lineRule="auto" w:before="0" w:after="80"/>
        <w:ind w:firstLine="482"/>
        <w:jc w:val="both"/>
      </w:pPr>
      <w:r>
        <w:rPr>
          <w:rFonts w:ascii="Times New Roman" w:hAnsi="Times New Roman" w:eastAsia="宋体"/>
          <w:b w:val="0"/>
          <w:sz w:val="24"/>
        </w:rPr>
        <w:t>69</w:t>
      </w:r>
    </w:p>
    <w:p>
      <w:pPr>
        <w:spacing w:line="360" w:lineRule="auto" w:before="120" w:after="60"/>
        <w:ind w:firstLine="0"/>
        <w:jc w:val="left"/>
      </w:pPr>
      <w:r>
        <w:rPr>
          <w:rFonts w:ascii="Times New Roman" w:hAnsi="Times New Roman" w:eastAsia="宋体"/>
          <w:b/>
          <w:sz w:val="24"/>
        </w:rPr>
        <w:t>高分子材料与工程</w:t>
      </w:r>
    </w:p>
    <w:p>
      <w:pPr>
        <w:spacing w:line="360" w:lineRule="auto" w:before="0" w:after="80"/>
        <w:ind w:firstLine="482"/>
        <w:jc w:val="both"/>
      </w:pPr>
      <w:r>
        <w:rPr>
          <w:rFonts w:ascii="Times New Roman" w:hAnsi="Times New Roman" w:eastAsia="宋体"/>
          <w:b w:val="0"/>
          <w:sz w:val="24"/>
        </w:rPr>
        <w:t>12</w:t>
      </w:r>
    </w:p>
    <w:p>
      <w:pPr>
        <w:spacing w:line="360" w:lineRule="auto" w:before="0" w:after="80"/>
        <w:ind w:firstLine="482"/>
        <w:jc w:val="both"/>
      </w:pPr>
      <w:r>
        <w:rPr>
          <w:rFonts w:ascii="Times New Roman" w:hAnsi="Times New Roman" w:eastAsia="宋体"/>
          <w:b w:val="0"/>
          <w:sz w:val="24"/>
        </w:rPr>
        <w:t>15</w:t>
      </w:r>
    </w:p>
    <w:p>
      <w:pPr>
        <w:spacing w:line="360" w:lineRule="auto" w:before="120" w:after="60"/>
        <w:ind w:firstLine="0"/>
        <w:jc w:val="left"/>
      </w:pPr>
      <w:r>
        <w:rPr>
          <w:rFonts w:ascii="Times New Roman" w:hAnsi="Times New Roman" w:eastAsia="宋体"/>
          <w:b/>
          <w:sz w:val="24"/>
        </w:rPr>
        <w:t>金属材料工程</w:t>
      </w:r>
    </w:p>
    <w:p>
      <w:pPr>
        <w:spacing w:line="360" w:lineRule="auto" w:before="0" w:after="80"/>
        <w:ind w:firstLine="482"/>
        <w:jc w:val="both"/>
      </w:pPr>
      <w:r>
        <w:rPr>
          <w:rFonts w:ascii="Times New Roman" w:hAnsi="Times New Roman" w:eastAsia="宋体"/>
          <w:b w:val="0"/>
          <w:sz w:val="24"/>
        </w:rPr>
        <w:t>9</w:t>
      </w:r>
    </w:p>
    <w:p>
      <w:pPr>
        <w:spacing w:line="360" w:lineRule="auto" w:before="0" w:after="80"/>
        <w:ind w:firstLine="482"/>
        <w:jc w:val="both"/>
      </w:pPr>
      <w:r>
        <w:rPr>
          <w:rFonts w:ascii="Times New Roman" w:hAnsi="Times New Roman" w:eastAsia="宋体"/>
          <w:b w:val="0"/>
          <w:sz w:val="24"/>
        </w:rPr>
        <w:t>11</w:t>
      </w:r>
    </w:p>
    <w:p>
      <w:pPr>
        <w:spacing w:line="360" w:lineRule="auto" w:before="120" w:after="60"/>
        <w:ind w:firstLine="0"/>
        <w:jc w:val="left"/>
      </w:pPr>
      <w:r>
        <w:rPr>
          <w:rFonts w:ascii="Times New Roman" w:hAnsi="Times New Roman" w:eastAsia="宋体"/>
          <w:b/>
          <w:sz w:val="24"/>
        </w:rPr>
        <w:t>无机非金属材料工程</w:t>
      </w:r>
    </w:p>
    <w:p>
      <w:pPr>
        <w:spacing w:line="360" w:lineRule="auto" w:before="0" w:after="80"/>
        <w:ind w:firstLine="482"/>
        <w:jc w:val="both"/>
      </w:pPr>
      <w:r>
        <w:rPr>
          <w:rFonts w:ascii="Times New Roman" w:hAnsi="Times New Roman" w:eastAsia="宋体"/>
          <w:b w:val="0"/>
          <w:sz w:val="24"/>
        </w:rPr>
        <w:t>9</w:t>
      </w:r>
    </w:p>
    <w:p>
      <w:pPr>
        <w:spacing w:line="360" w:lineRule="auto" w:before="0" w:after="80"/>
        <w:ind w:firstLine="482"/>
        <w:jc w:val="both"/>
      </w:pPr>
      <w:r>
        <w:rPr>
          <w:rFonts w:ascii="Times New Roman" w:hAnsi="Times New Roman" w:eastAsia="宋体"/>
          <w:b w:val="0"/>
          <w:sz w:val="24"/>
        </w:rPr>
        <w:t>11</w:t>
      </w:r>
    </w:p>
    <w:p>
      <w:pPr>
        <w:spacing w:line="360" w:lineRule="auto" w:before="120" w:after="60"/>
        <w:ind w:firstLine="0"/>
        <w:jc w:val="left"/>
      </w:pPr>
      <w:r>
        <w:rPr>
          <w:rFonts w:ascii="Times New Roman" w:hAnsi="Times New Roman" w:eastAsia="宋体"/>
          <w:b/>
          <w:sz w:val="24"/>
        </w:rPr>
        <w:t>新能源材料与器件</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5</w:t>
            </w:r>
          </w:p>
        </w:tc>
        <w:tc>
          <w:tcPr>
            <w:tcW w:type="dxa" w:w="4317"/>
          </w:tcPr>
          <w:p>
            <w:pPr>
              <w:jc w:val="center"/>
            </w:pPr>
            <w:r>
              <w:rPr>
                <w:rFonts w:ascii="Times New Roman" w:hAnsi="Times New Roman" w:eastAsia="宋体"/>
                <w:b/>
                <w:sz w:val="21"/>
              </w:rPr>
              <w:t>6</w:t>
            </w:r>
          </w:p>
        </w:tc>
      </w:tr>
      <w:tr>
        <w:tc>
          <w:tcPr>
            <w:tcW w:type="dxa" w:w="4317"/>
          </w:tcPr>
          <w:p>
            <w:pPr>
              <w:jc w:val="center"/>
            </w:pPr>
            <w:r>
              <w:rPr>
                <w:rFonts w:ascii="Times New Roman" w:hAnsi="Times New Roman" w:eastAsia="宋体"/>
                <w:sz w:val="21"/>
              </w:rPr>
              <w:t>冶金工程</w:t>
            </w:r>
          </w:p>
        </w:tc>
        <w:tc>
          <w:tcPr>
            <w:tcW w:type="dxa" w:w="4317"/>
          </w:tcPr>
          <w:p>
            <w:pPr>
              <w:jc w:val="center"/>
            </w:pPr>
            <w:r>
              <w:rPr>
                <w:rFonts w:ascii="Times New Roman" w:hAnsi="Times New Roman" w:eastAsia="宋体"/>
                <w:sz w:val="21"/>
              </w:rPr>
              <w:t>2</w:t>
            </w:r>
          </w:p>
        </w:tc>
      </w:tr>
      <w:tr>
        <w:tc>
          <w:tcPr>
            <w:tcW w:type="dxa" w:w="4317"/>
          </w:tcPr>
          <w:p>
            <w:pPr>
              <w:jc w:val="center"/>
            </w:pPr>
            <w:r>
              <w:rPr>
                <w:rFonts w:ascii="Times New Roman" w:hAnsi="Times New Roman" w:eastAsia="宋体"/>
                <w:sz w:val="21"/>
              </w:rPr>
              <w:t>3</w:t>
            </w:r>
          </w:p>
        </w:tc>
        <w:tc>
          <w:tcPr>
            <w:tcW w:type="dxa" w:w="4317"/>
          </w:tcPr>
          <w:p>
            <w:pPr>
              <w:jc w:val="center"/>
            </w:pPr>
            <w:r>
              <w:rPr>
                <w:rFonts w:ascii="Times New Roman" w:hAnsi="Times New Roman" w:eastAsia="宋体"/>
                <w:sz w:val="21"/>
              </w:rPr>
              <w:t>冶金工程（双学位）</w:t>
            </w:r>
          </w:p>
        </w:tc>
      </w:tr>
      <w:tr>
        <w:tc>
          <w:tcPr>
            <w:tcW w:type="dxa" w:w="4317"/>
          </w:tcPr>
          <w:p>
            <w:pPr>
              <w:jc w:val="center"/>
            </w:pPr>
            <w:r>
              <w:rPr>
                <w:rFonts w:ascii="Times New Roman" w:hAnsi="Times New Roman" w:eastAsia="宋体"/>
                <w:sz w:val="21"/>
              </w:rPr>
              <w:t>4</w:t>
            </w:r>
          </w:p>
        </w:tc>
        <w:tc>
          <w:tcPr>
            <w:tcW w:type="dxa" w:w="4317"/>
          </w:tcPr>
          <w:p>
            <w:pPr>
              <w:jc w:val="center"/>
            </w:pPr>
            <w:r>
              <w:rPr>
                <w:rFonts w:ascii="Times New Roman" w:hAnsi="Times New Roman" w:eastAsia="宋体"/>
                <w:sz w:val="21"/>
              </w:rPr>
              <w:t>5</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