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4B0410">
      <w:pPr>
        <w:spacing w:after="0"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河北科技大学</w:t>
      </w:r>
      <w:r>
        <w:rPr>
          <w:rFonts w:hint="eastAsia" w:ascii="方正小标宋简体" w:hAnsi="方正小标宋简体" w:eastAsia="方正小标宋简体" w:cs="方正小标宋简体"/>
          <w:sz w:val="44"/>
          <w:szCs w:val="44"/>
          <w:lang w:val="en-US" w:eastAsia="zh-CN"/>
        </w:rPr>
        <w:t>纺织服装学院</w:t>
      </w:r>
    </w:p>
    <w:p w14:paraId="31E79E4C">
      <w:pPr>
        <w:spacing w:after="0"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推荐优秀应届本科毕业生免试攻读研究生</w:t>
      </w:r>
    </w:p>
    <w:p w14:paraId="1F376670">
      <w:pPr>
        <w:spacing w:after="0"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实施细则</w:t>
      </w:r>
    </w:p>
    <w:p w14:paraId="74400621">
      <w:pPr>
        <w:spacing w:after="0" w:line="560" w:lineRule="exact"/>
        <w:ind w:firstLine="640" w:firstLineChars="200"/>
        <w:jc w:val="both"/>
        <w:rPr>
          <w:rFonts w:hint="eastAsia" w:ascii="Times New Roman" w:hAnsi="Times New Roman" w:eastAsia="仿宋_GB2312" w:cs="Times New Roman"/>
          <w:sz w:val="32"/>
          <w:szCs w:val="32"/>
        </w:rPr>
      </w:pPr>
    </w:p>
    <w:p w14:paraId="65F2C5E1">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为加强学院推荐优秀应届本科毕业生免试攻读研究生（以下简称“推免工作”）工作管理，充分保障学生权益，确保推免工作公平公正，根据《河北科技大学关于推荐优秀应届本科毕业生免试攻读研究生工作办法》和《河北科技大学推荐优秀应届本科毕业生免试攻读研究生附加成绩认定办法》</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结合学院实际，特制定本细则。</w:t>
      </w:r>
    </w:p>
    <w:p w14:paraId="2D9E2C05">
      <w:pPr>
        <w:spacing w:after="0" w:line="560" w:lineRule="exact"/>
        <w:ind w:firstLine="643" w:firstLineChars="200"/>
        <w:jc w:val="both"/>
        <w:outlineLvl w:val="1"/>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一、基本原则</w:t>
      </w:r>
    </w:p>
    <w:p w14:paraId="280B8925">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立足新时代国家重大发展战略对高层次创新人才的迫切需要</w:t>
      </w:r>
      <w:r>
        <w:rPr>
          <w:rFonts w:hint="eastAsia" w:ascii="Times New Roman" w:hAnsi="Times New Roman" w:eastAsia="仿宋_GB2312" w:cs="Times New Roman"/>
          <w:sz w:val="32"/>
          <w:szCs w:val="32"/>
        </w:rPr>
        <w:t>，牢牢把握服务国家战略的工作定位和目标导向，坚持公开、公平、多维考察、能力导向、择优遴选、保证质量的原则，选拔具有扎实专业基础和突出创新潜质的优秀应届本科毕业生。</w:t>
      </w:r>
    </w:p>
    <w:p w14:paraId="5D99154D">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本办法适用对象为河北科技大学纳入国家普通本科招生计划录取的应届毕业生（不含专升本、双学位、第二学士学位、对口招生等，以及依据国家政策不予推免的学生）。</w:t>
      </w:r>
    </w:p>
    <w:p w14:paraId="54D3020A">
      <w:pPr>
        <w:spacing w:after="0" w:line="560" w:lineRule="exact"/>
        <w:ind w:firstLine="643" w:firstLineChars="200"/>
        <w:jc w:val="both"/>
        <w:outlineLvl w:val="1"/>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二、组织机构</w:t>
      </w:r>
    </w:p>
    <w:p w14:paraId="3E021605">
      <w:pPr>
        <w:spacing w:after="0" w:line="560" w:lineRule="exact"/>
        <w:ind w:firstLine="640" w:firstLineChars="200"/>
        <w:jc w:val="both"/>
        <w:rPr>
          <w:rFonts w:hint="eastAsia" w:ascii="Times New Roman" w:hAnsi="Times New Roman" w:eastAsia="仿宋_GB2312" w:cs="Times New Roman"/>
          <w:sz w:val="32"/>
          <w:szCs w:val="32"/>
          <w:lang w:eastAsia="zh-CN"/>
        </w:rPr>
      </w:pPr>
      <w:r>
        <w:rPr>
          <w:rFonts w:hint="eastAsia" w:ascii="仿宋_GB2312" w:hAnsi="仿宋" w:eastAsia="仿宋_GB2312"/>
          <w:sz w:val="32"/>
          <w:szCs w:val="32"/>
        </w:rPr>
        <w:t>学院成立推免工作小组，由各学院党组织书记、院长任组长，主管本科生教学工作、研究生教育工作及科研管理工作的副院长和主管学生工作的副书记任副组长，成员由教师代表、辅导员、学生代表等组成，研究审定各专业推免名额分配等重要事宜</w:t>
      </w:r>
      <w:r>
        <w:rPr>
          <w:rFonts w:hint="eastAsia" w:ascii="仿宋_GB2312" w:hAnsi="仿宋" w:eastAsia="仿宋_GB2312"/>
          <w:sz w:val="32"/>
          <w:szCs w:val="32"/>
          <w:lang w:eastAsia="zh-CN"/>
        </w:rPr>
        <w:t>。</w:t>
      </w:r>
      <w:bookmarkStart w:id="7" w:name="_GoBack"/>
      <w:bookmarkEnd w:id="7"/>
    </w:p>
    <w:p w14:paraId="1F2F687E">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下设综合评定小组及专家评审小组，综合评定小组由学院教务工作人员、推免年级辅导员、</w:t>
      </w:r>
      <w:r>
        <w:rPr>
          <w:rFonts w:hint="eastAsia" w:ascii="Times New Roman" w:hAnsi="Times New Roman" w:eastAsia="仿宋_GB2312" w:cs="Times New Roman"/>
          <w:sz w:val="32"/>
          <w:szCs w:val="32"/>
          <w:lang w:val="en-US" w:eastAsia="zh-CN"/>
        </w:rPr>
        <w:t>科研管理工作人员等</w:t>
      </w:r>
      <w:r>
        <w:rPr>
          <w:rFonts w:hint="eastAsia" w:ascii="Times New Roman" w:hAnsi="Times New Roman" w:eastAsia="仿宋_GB2312" w:cs="Times New Roman"/>
          <w:sz w:val="32"/>
          <w:szCs w:val="32"/>
        </w:rPr>
        <w:t>组成，工作职责为：</w:t>
      </w:r>
      <w:r>
        <w:rPr>
          <w:rFonts w:hint="eastAsia" w:ascii="仿宋_GB2312" w:hAnsi="仿宋" w:eastAsia="仿宋_GB2312"/>
          <w:sz w:val="32"/>
          <w:szCs w:val="32"/>
        </w:rPr>
        <w:t>负责推免工作的具体组织、协调、复议</w:t>
      </w:r>
      <w:r>
        <w:rPr>
          <w:rFonts w:hint="eastAsia" w:ascii="仿宋_GB2312" w:hAnsi="仿宋" w:eastAsia="仿宋_GB2312"/>
          <w:sz w:val="32"/>
          <w:szCs w:val="32"/>
          <w:lang w:val="en-US" w:eastAsia="zh-CN"/>
        </w:rPr>
        <w:t>及</w:t>
      </w:r>
      <w:r>
        <w:rPr>
          <w:rFonts w:hint="eastAsia" w:ascii="Times New Roman" w:hAnsi="Times New Roman" w:eastAsia="仿宋_GB2312" w:cs="Times New Roman"/>
          <w:sz w:val="32"/>
          <w:szCs w:val="32"/>
        </w:rPr>
        <w:t>综合测评成绩核算等工作。专家评审小组由学院具有副高级及以上职称的教师组成，组成人员不少于5人，工作职责为</w:t>
      </w:r>
      <w:r>
        <w:rPr>
          <w:rFonts w:hint="eastAsia" w:ascii="Times New Roman" w:hAnsi="Times New Roman" w:eastAsia="仿宋_GB2312" w:cs="Times New Roman"/>
          <w:sz w:val="32"/>
          <w:szCs w:val="32"/>
          <w:lang w:eastAsia="zh-CN"/>
        </w:rPr>
        <w:t>：</w:t>
      </w:r>
      <w:r>
        <w:rPr>
          <w:rFonts w:hint="eastAsia" w:ascii="仿宋_GB2312" w:hAnsi="仿宋" w:eastAsia="仿宋_GB2312"/>
          <w:sz w:val="32"/>
          <w:szCs w:val="32"/>
        </w:rPr>
        <w:t>负责学科竞赛获奖、</w:t>
      </w:r>
      <w:r>
        <w:rPr>
          <w:rFonts w:ascii="仿宋_GB2312" w:hAnsi="仿宋" w:eastAsia="仿宋_GB2312"/>
          <w:sz w:val="32"/>
          <w:szCs w:val="32"/>
        </w:rPr>
        <w:t>科研创新成果</w:t>
      </w:r>
      <w:r>
        <w:rPr>
          <w:rFonts w:hint="eastAsia" w:ascii="仿宋_GB2312" w:hAnsi="仿宋" w:eastAsia="仿宋_GB2312"/>
          <w:sz w:val="32"/>
          <w:szCs w:val="32"/>
        </w:rPr>
        <w:t>等学术成果的认定。</w:t>
      </w:r>
    </w:p>
    <w:p w14:paraId="17773C2A">
      <w:pPr>
        <w:spacing w:after="0" w:line="560" w:lineRule="exact"/>
        <w:ind w:firstLine="643" w:firstLineChars="200"/>
        <w:jc w:val="both"/>
        <w:outlineLvl w:val="1"/>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三、推荐条件</w:t>
      </w:r>
    </w:p>
    <w:p w14:paraId="544BCBEE">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（一）具有高尚的爱国主义情操和集体主义精神，拥护中国共产党的领导，社会主义信念坚定，积极践行社会主义核心价值观，社会责任感强，道德品质高尚，思想积极向上，身心健康；</w:t>
      </w:r>
    </w:p>
    <w:p w14:paraId="7ADB5DE5">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（二）遵守国家法律法规以及学校规章制度，诚实守信，品行优良，无任何考试违纪、作弊行为和学术诚信问题，无任何违法违纪受处分记录；</w:t>
      </w:r>
    </w:p>
    <w:p w14:paraId="4CAE24BC">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（三）热爱所学专业，学风端正，勤奋学习，刻苦钻研，成绩优秀，学术研究兴趣浓厚，有较强的创新意识和创新能力，有志于在国内继续深造；</w:t>
      </w:r>
    </w:p>
    <w:p w14:paraId="4FC41497">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推免工作资格认定前修完前六学期培养方案规定的必修课、学位课各门课程，获得全部学分，未出现过不及格课程，或仅出现过一门不及格课程且一次性通过补考或重修，转专业的学生，按转入后的专业培养方案核算；</w:t>
      </w:r>
    </w:p>
    <w:p w14:paraId="3056CBF5">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（五）学业成绩位列本专业前20%（含）。学业成绩是指学生所学专业培养方案规定的前三学年的全部必修课和学位课（不含军事理论、军事训练及体育成绩）的正考加权平均成绩。</w:t>
      </w:r>
    </w:p>
    <w:p w14:paraId="0CDB4D73">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（六）本科生作为主力队员（前三名）参加学校组织报名的竞赛，荣获学校相关文件中认定的一类竞赛A级最高奖项且学业成绩排名在前15%（含15%），可经本人申请，直接获得推免资格，占全校指标。</w:t>
      </w:r>
    </w:p>
    <w:p w14:paraId="5436E747">
      <w:pPr>
        <w:spacing w:after="0" w:line="560" w:lineRule="exact"/>
        <w:ind w:firstLine="643" w:firstLineChars="200"/>
        <w:jc w:val="both"/>
        <w:outlineLvl w:val="1"/>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四、推荐程序</w:t>
      </w:r>
    </w:p>
    <w:p w14:paraId="595378F7">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（一）学院推免工作领导小组制定年度推免工作方案（包括各专业推免名额），并向全体学生进行公示，做好推免的宣传宣讲工作，确保推免工作公开、公平、公正。</w:t>
      </w:r>
    </w:p>
    <w:p w14:paraId="72548454">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（二）学院公布学生学业成绩及排名。</w:t>
      </w:r>
    </w:p>
    <w:p w14:paraId="2F657A3C">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（三）学生按要求向学院提出书面申请。</w:t>
      </w:r>
    </w:p>
    <w:p w14:paraId="630F230A">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符合推免条件的本科生填写《河北科技大学推荐免试攻读硕士研究生资格申请审批表》并提交相关佐证（包括竞赛获奖证书、专利证书、论文复印件等），个人签字后在规定期限内提交学院教学工作办公室。</w:t>
      </w:r>
    </w:p>
    <w:p w14:paraId="56C02F44">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学院综合评定小组对申请推免资格的本科生进行综合评定。由学院综合评定小组从政治态度、思想表现、道德品质、科学精神、诚实守信、遵纪守法等方面对申请推免资格本科生进行综合评定，综合评定格次为：合格和不合格，不合格者不予推荐。</w:t>
      </w:r>
    </w:p>
    <w:p w14:paraId="25E22E7A">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学院组织申请附加成绩加分的学生进行公开答辩。专家评审小组对申请学生的竞赛获奖奖项及内容、科研创新成果进行审核评定，认定其附加成绩。从严把握受社会质疑较多的赛事、刊物，评价重点聚焦到创新质量和个人贡献，排除抄袭、造假、冒名和有名无实等情况。每位专家评审小组成员均要给出明确审核鉴定意见并签字存档，答辩过程要全程录音录像，答辩结果要进行公示，未通过审核鉴定或答辩的，不得纳入推免附加成绩计算体系，对于弄虚作假等存在学术不端的学生中止推免资格。</w:t>
      </w:r>
    </w:p>
    <w:p w14:paraId="711DD1F0">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（六）学院公布附加成绩及推免成绩。</w:t>
      </w:r>
    </w:p>
    <w:p w14:paraId="200BD94D">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学院公示拟推荐本科生名单及候补名单（2人），公示期为3个工作日，公示无异议后，向学校推免工作领导小组上报拟推荐名单。</w:t>
      </w:r>
    </w:p>
    <w:p w14:paraId="019C3538">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（七）获得推免资格的本科生，在毕业前有以下情形者，将取消其推免资格：</w:t>
      </w:r>
    </w:p>
    <w:p w14:paraId="60B25B71">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1.受到记过及以上纪律处分、被追究刑事责任或其他学校认为应该取消推免资格的情况；</w:t>
      </w:r>
    </w:p>
    <w:p w14:paraId="356ADD70">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2.在推免过程中弄虚作假的。</w:t>
      </w:r>
    </w:p>
    <w:p w14:paraId="5FBDD964">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在学院公示结束前，对于本人自愿放弃申请推免资格的本科生应由本人手写书面放弃推免资格承诺书，学生本人、辅导员、院长签字留存备案，而后严格按照推免成绩排名顺序，依次递补。学院不得动员本科生放弃申请推免资格。</w:t>
      </w:r>
    </w:p>
    <w:p w14:paraId="1149CB04">
      <w:pPr>
        <w:spacing w:after="0" w:line="560" w:lineRule="exact"/>
        <w:ind w:firstLine="643" w:firstLineChars="200"/>
        <w:jc w:val="both"/>
        <w:outlineLvl w:val="1"/>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五、名额分配</w:t>
      </w:r>
    </w:p>
    <w:p w14:paraId="56FE0B54">
      <w:pPr>
        <w:numPr>
          <w:ilvl w:val="255"/>
          <w:numId w:val="0"/>
        </w:numPr>
        <w:spacing w:after="0" w:line="560" w:lineRule="exact"/>
        <w:ind w:firstLine="640" w:firstLineChars="200"/>
        <w:jc w:val="both"/>
        <w:rPr>
          <w:rFonts w:hint="eastAsia" w:ascii="仿宋_GB2312" w:eastAsia="仿宋_GB2312"/>
          <w:sz w:val="32"/>
          <w:szCs w:val="32"/>
        </w:rPr>
      </w:pPr>
      <w:r>
        <w:rPr>
          <w:rFonts w:hint="eastAsia" w:ascii="仿宋_GB2312" w:hAnsi="仿宋" w:eastAsia="仿宋_GB2312"/>
          <w:sz w:val="32"/>
          <w:szCs w:val="32"/>
        </w:rPr>
        <w:t>根据《河北科技大学推荐优秀应届本科毕业生免试攻读研究生工作实施办法》，结合纺织服装学院学科发展需求，根据学校批准下达我院当年的推免生名额，统筹考虑学科专业、各专业应届本科毕业生人数、上学年推免工作等因素，进行分配。优先向双一流建设学科及重点人才培养改革学科、国家一流本科专业等倾斜，推荐名额分配方法如下</w:t>
      </w:r>
      <w:r>
        <w:rPr>
          <w:rFonts w:hint="eastAsia" w:ascii="仿宋_GB2312" w:eastAsia="仿宋_GB2312"/>
          <w:sz w:val="32"/>
          <w:szCs w:val="32"/>
        </w:rPr>
        <w:t>：</w:t>
      </w:r>
    </w:p>
    <w:p w14:paraId="6B057C2A">
      <w:pPr>
        <w:numPr>
          <w:ilvl w:val="255"/>
          <w:numId w:val="0"/>
        </w:num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1.当学院推免名额少于学院专业数时，推免名额原则上按专业分配，专业优先级按照表1《</w:t>
      </w:r>
      <w:r>
        <w:rPr>
          <w:rFonts w:hint="eastAsia" w:ascii="仿宋_GB2312" w:hAnsi="仿宋_GB2312" w:eastAsia="仿宋_GB2312" w:cs="仿宋_GB2312"/>
          <w:sz w:val="32"/>
          <w:szCs w:val="32"/>
          <w14:ligatures w14:val="none"/>
        </w:rPr>
        <w:t>专业名额分配计算</w:t>
      </w:r>
      <w:r>
        <w:rPr>
          <w:rFonts w:hint="eastAsia" w:ascii="仿宋_GB2312" w:eastAsia="仿宋_GB2312"/>
          <w:sz w:val="32"/>
          <w:szCs w:val="32"/>
        </w:rPr>
        <w:t>方法</w:t>
      </w:r>
      <w:r>
        <w:rPr>
          <w:rFonts w:hint="eastAsia" w:ascii="仿宋_GB2312" w:hAnsi="仿宋_GB2312" w:eastAsia="仿宋_GB2312" w:cs="仿宋_GB2312"/>
          <w:sz w:val="32"/>
          <w:szCs w:val="32"/>
          <w14:ligatures w14:val="none"/>
        </w:rPr>
        <w:t>表</w:t>
      </w:r>
      <w:r>
        <w:rPr>
          <w:rFonts w:hint="eastAsia" w:ascii="仿宋_GB2312" w:eastAsia="仿宋_GB2312"/>
          <w:sz w:val="32"/>
          <w:szCs w:val="32"/>
        </w:rPr>
        <w:t>》计算</w:t>
      </w:r>
      <w:r>
        <w:rPr>
          <w:rFonts w:hint="eastAsia" w:ascii="仿宋_GB2312" w:hAnsi="仿宋_GB2312" w:eastAsia="仿宋_GB2312" w:cs="仿宋_GB2312"/>
          <w:bCs/>
          <w:sz w:val="32"/>
          <w:szCs w:val="32"/>
        </w:rPr>
        <w:t>量化计分Y（Y=A+B+C），根据Y值，学院各专业进行</w:t>
      </w:r>
      <w:r>
        <w:rPr>
          <w:rFonts w:hint="eastAsia" w:ascii="仿宋_GB2312" w:eastAsia="仿宋_GB2312"/>
          <w:sz w:val="32"/>
          <w:szCs w:val="32"/>
        </w:rPr>
        <w:t>排序，实际分配名额按照排序依次进行分配。</w:t>
      </w:r>
    </w:p>
    <w:p w14:paraId="0188C317">
      <w:pPr>
        <w:numPr>
          <w:ilvl w:val="255"/>
          <w:numId w:val="0"/>
        </w:numPr>
        <w:spacing w:after="0" w:line="560" w:lineRule="exact"/>
        <w:ind w:firstLine="640" w:firstLineChars="200"/>
        <w:jc w:val="both"/>
        <w:rPr>
          <w:rFonts w:hint="eastAsia" w:ascii="仿宋_GB2312" w:eastAsia="仿宋_GB2312"/>
          <w:sz w:val="32"/>
          <w:szCs w:val="32"/>
        </w:rPr>
      </w:pPr>
      <w:r>
        <w:rPr>
          <w:rFonts w:hint="eastAsia" w:ascii="仿宋_GB2312" w:eastAsia="仿宋_GB2312"/>
          <w:bCs/>
          <w:sz w:val="32"/>
          <w:szCs w:val="32"/>
        </w:rPr>
        <w:t>“量化计分Y”由“</w:t>
      </w:r>
      <w:r>
        <w:rPr>
          <w:rFonts w:hint="eastAsia" w:ascii="仿宋_GB2312" w:eastAsia="仿宋_GB2312"/>
          <w:sz w:val="32"/>
          <w:szCs w:val="32"/>
        </w:rPr>
        <w:t>毕业生基数得分</w:t>
      </w:r>
      <w:r>
        <w:rPr>
          <w:rFonts w:hint="eastAsia" w:ascii="仿宋_GB2312" w:eastAsia="仿宋_GB2312"/>
          <w:bCs/>
          <w:sz w:val="32"/>
          <w:szCs w:val="32"/>
        </w:rPr>
        <w:t>A”“</w:t>
      </w:r>
      <w:r>
        <w:rPr>
          <w:rFonts w:hint="eastAsia" w:ascii="仿宋_GB2312" w:eastAsia="仿宋_GB2312"/>
          <w:sz w:val="32"/>
          <w:szCs w:val="32"/>
        </w:rPr>
        <w:t>专业层次得分</w:t>
      </w:r>
      <w:r>
        <w:rPr>
          <w:rFonts w:hint="eastAsia" w:ascii="仿宋_GB2312" w:eastAsia="仿宋_GB2312"/>
          <w:bCs/>
          <w:sz w:val="32"/>
          <w:szCs w:val="32"/>
        </w:rPr>
        <w:t>B”“</w:t>
      </w:r>
      <w:r>
        <w:rPr>
          <w:rFonts w:hint="eastAsia" w:ascii="仿宋_GB2312" w:eastAsia="仿宋_GB2312"/>
          <w:sz w:val="32"/>
          <w:szCs w:val="32"/>
        </w:rPr>
        <w:t>升学率得分</w:t>
      </w:r>
      <w:r>
        <w:rPr>
          <w:rFonts w:hint="eastAsia" w:ascii="仿宋_GB2312" w:eastAsia="仿宋_GB2312"/>
          <w:bCs/>
          <w:sz w:val="32"/>
          <w:szCs w:val="32"/>
        </w:rPr>
        <w:t>C”三个一级指标构成。如下表所示：</w:t>
      </w:r>
    </w:p>
    <w:p w14:paraId="76B0FF9A">
      <w:pPr>
        <w:numPr>
          <w:ilvl w:val="255"/>
          <w:numId w:val="0"/>
        </w:numPr>
        <w:spacing w:after="0" w:line="560" w:lineRule="exact"/>
        <w:jc w:val="center"/>
        <w:rPr>
          <w:rFonts w:hint="eastAsia" w:ascii="仿宋_GB2312" w:eastAsia="仿宋_GB2312"/>
          <w:sz w:val="32"/>
          <w:szCs w:val="32"/>
        </w:rPr>
      </w:pPr>
      <w:r>
        <w:rPr>
          <w:rFonts w:hint="eastAsia" w:ascii="仿宋_GB2312" w:eastAsia="仿宋_GB2312"/>
          <w:sz w:val="32"/>
          <w:szCs w:val="32"/>
        </w:rPr>
        <w:t>表1 专业名额计算方法表</w:t>
      </w:r>
    </w:p>
    <w:tbl>
      <w:tblPr>
        <w:tblStyle w:val="18"/>
        <w:tblW w:w="8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1516"/>
        <w:gridCol w:w="5885"/>
      </w:tblGrid>
      <w:tr w14:paraId="73908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190" w:type="dxa"/>
            <w:tcBorders>
              <w:top w:val="single" w:color="auto" w:sz="4" w:space="0"/>
              <w:left w:val="single" w:color="auto" w:sz="4" w:space="0"/>
              <w:bottom w:val="single" w:color="auto" w:sz="4" w:space="0"/>
              <w:right w:val="single" w:color="auto" w:sz="4" w:space="0"/>
            </w:tcBorders>
          </w:tcPr>
          <w:p w14:paraId="7F4AA443">
            <w:pPr>
              <w:numPr>
                <w:ilvl w:val="255"/>
                <w:numId w:val="0"/>
              </w:numPr>
              <w:spacing w:after="0" w:line="560" w:lineRule="exact"/>
              <w:jc w:val="both"/>
              <w:rPr>
                <w:rFonts w:hint="eastAsia" w:ascii="仿宋_GB2312" w:eastAsia="仿宋_GB2312"/>
                <w:sz w:val="24"/>
              </w:rPr>
            </w:pPr>
            <w:r>
              <w:rPr>
                <w:rFonts w:hint="eastAsia" w:ascii="仿宋_GB2312" w:eastAsia="仿宋_GB2312"/>
                <w:sz w:val="24"/>
              </w:rPr>
              <w:t>计算项</w:t>
            </w:r>
          </w:p>
        </w:tc>
        <w:tc>
          <w:tcPr>
            <w:tcW w:w="1516" w:type="dxa"/>
            <w:tcBorders>
              <w:top w:val="single" w:color="auto" w:sz="4" w:space="0"/>
              <w:left w:val="single" w:color="auto" w:sz="4" w:space="0"/>
              <w:bottom w:val="single" w:color="auto" w:sz="4" w:space="0"/>
              <w:right w:val="single" w:color="auto" w:sz="4" w:space="0"/>
            </w:tcBorders>
          </w:tcPr>
          <w:p w14:paraId="6D8CAAAE">
            <w:pPr>
              <w:numPr>
                <w:ilvl w:val="255"/>
                <w:numId w:val="0"/>
              </w:numPr>
              <w:spacing w:after="0" w:line="560" w:lineRule="exact"/>
              <w:jc w:val="both"/>
              <w:rPr>
                <w:rFonts w:hint="eastAsia" w:ascii="仿宋_GB2312" w:eastAsia="仿宋_GB2312"/>
                <w:sz w:val="24"/>
              </w:rPr>
            </w:pPr>
            <w:r>
              <w:rPr>
                <w:rFonts w:hint="eastAsia" w:ascii="仿宋_GB2312" w:eastAsia="仿宋_GB2312"/>
                <w:sz w:val="24"/>
              </w:rPr>
              <w:t>指标权重</w:t>
            </w:r>
          </w:p>
        </w:tc>
        <w:tc>
          <w:tcPr>
            <w:tcW w:w="5885" w:type="dxa"/>
            <w:tcBorders>
              <w:top w:val="single" w:color="auto" w:sz="4" w:space="0"/>
              <w:left w:val="single" w:color="auto" w:sz="4" w:space="0"/>
              <w:bottom w:val="single" w:color="auto" w:sz="4" w:space="0"/>
              <w:right w:val="single" w:color="auto" w:sz="4" w:space="0"/>
            </w:tcBorders>
          </w:tcPr>
          <w:p w14:paraId="487CB74B">
            <w:pPr>
              <w:numPr>
                <w:ilvl w:val="255"/>
                <w:numId w:val="0"/>
              </w:numPr>
              <w:spacing w:after="0" w:line="560" w:lineRule="exact"/>
              <w:jc w:val="both"/>
              <w:rPr>
                <w:rFonts w:hint="eastAsia" w:ascii="仿宋_GB2312" w:eastAsia="仿宋_GB2312"/>
                <w:sz w:val="24"/>
              </w:rPr>
            </w:pPr>
            <w:r>
              <w:rPr>
                <w:rFonts w:hint="eastAsia" w:ascii="仿宋_GB2312" w:eastAsia="仿宋_GB2312"/>
                <w:sz w:val="24"/>
              </w:rPr>
              <w:t>相关指标计算说明</w:t>
            </w:r>
          </w:p>
        </w:tc>
      </w:tr>
      <w:tr w14:paraId="73BF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1190" w:type="dxa"/>
            <w:tcBorders>
              <w:top w:val="single" w:color="auto" w:sz="4" w:space="0"/>
              <w:left w:val="single" w:color="auto" w:sz="4" w:space="0"/>
              <w:bottom w:val="single" w:color="auto" w:sz="4" w:space="0"/>
              <w:right w:val="single" w:color="auto" w:sz="4" w:space="0"/>
            </w:tcBorders>
          </w:tcPr>
          <w:p w14:paraId="0AEDF6EE">
            <w:pPr>
              <w:numPr>
                <w:ilvl w:val="255"/>
                <w:numId w:val="0"/>
              </w:numPr>
              <w:spacing w:after="0" w:line="560" w:lineRule="exact"/>
              <w:jc w:val="both"/>
              <w:rPr>
                <w:rFonts w:hint="eastAsia" w:ascii="仿宋_GB2312" w:eastAsia="仿宋_GB2312"/>
                <w:sz w:val="24"/>
              </w:rPr>
            </w:pPr>
            <w:r>
              <w:rPr>
                <w:rFonts w:hint="eastAsia" w:ascii="仿宋_GB2312" w:eastAsia="仿宋_GB2312"/>
                <w:sz w:val="24"/>
              </w:rPr>
              <w:t>A</w:t>
            </w:r>
          </w:p>
        </w:tc>
        <w:tc>
          <w:tcPr>
            <w:tcW w:w="1516" w:type="dxa"/>
            <w:tcBorders>
              <w:top w:val="single" w:color="auto" w:sz="4" w:space="0"/>
              <w:left w:val="single" w:color="auto" w:sz="4" w:space="0"/>
              <w:bottom w:val="single" w:color="auto" w:sz="4" w:space="0"/>
              <w:right w:val="single" w:color="auto" w:sz="4" w:space="0"/>
            </w:tcBorders>
          </w:tcPr>
          <w:p w14:paraId="6626AF0C">
            <w:pPr>
              <w:numPr>
                <w:ilvl w:val="255"/>
                <w:numId w:val="0"/>
              </w:numPr>
              <w:spacing w:after="0" w:line="560" w:lineRule="exact"/>
              <w:jc w:val="both"/>
              <w:rPr>
                <w:rFonts w:hint="eastAsia" w:ascii="仿宋_GB2312" w:eastAsia="仿宋_GB2312"/>
                <w:sz w:val="24"/>
              </w:rPr>
            </w:pPr>
            <w:r>
              <w:rPr>
                <w:rFonts w:hint="eastAsia" w:ascii="仿宋_GB2312" w:eastAsia="仿宋_GB2312"/>
                <w:sz w:val="24"/>
              </w:rPr>
              <w:t>毕业生基数（0.6）</w:t>
            </w:r>
          </w:p>
        </w:tc>
        <w:tc>
          <w:tcPr>
            <w:tcW w:w="5885" w:type="dxa"/>
            <w:tcBorders>
              <w:top w:val="single" w:color="auto" w:sz="4" w:space="0"/>
              <w:left w:val="single" w:color="auto" w:sz="4" w:space="0"/>
              <w:bottom w:val="single" w:color="auto" w:sz="4" w:space="0"/>
              <w:right w:val="single" w:color="auto" w:sz="4" w:space="0"/>
            </w:tcBorders>
          </w:tcPr>
          <w:p w14:paraId="75164E1A">
            <w:pPr>
              <w:numPr>
                <w:ilvl w:val="255"/>
                <w:numId w:val="0"/>
              </w:numPr>
              <w:spacing w:after="0" w:line="560" w:lineRule="exact"/>
              <w:jc w:val="both"/>
              <w:rPr>
                <w:rFonts w:hint="eastAsia" w:ascii="仿宋_GB2312" w:eastAsia="仿宋_GB2312"/>
                <w:sz w:val="24"/>
              </w:rPr>
            </w:pPr>
            <w:r>
              <w:rPr>
                <w:rFonts w:hint="eastAsia" w:ascii="仿宋_GB2312" w:eastAsia="仿宋_GB2312"/>
                <w:sz w:val="24"/>
              </w:rPr>
              <w:t>毕业生基数得分A=当届专业学生数A1/当届全院毕业生总数A2*指标权重（0.6）</w:t>
            </w:r>
          </w:p>
        </w:tc>
      </w:tr>
      <w:tr w14:paraId="41A0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1190" w:type="dxa"/>
            <w:tcBorders>
              <w:top w:val="single" w:color="auto" w:sz="4" w:space="0"/>
              <w:left w:val="single" w:color="auto" w:sz="4" w:space="0"/>
              <w:bottom w:val="single" w:color="auto" w:sz="4" w:space="0"/>
              <w:right w:val="single" w:color="auto" w:sz="4" w:space="0"/>
            </w:tcBorders>
          </w:tcPr>
          <w:p w14:paraId="074C847E">
            <w:pPr>
              <w:numPr>
                <w:ilvl w:val="255"/>
                <w:numId w:val="0"/>
              </w:numPr>
              <w:spacing w:after="0" w:line="560" w:lineRule="exact"/>
              <w:jc w:val="both"/>
              <w:rPr>
                <w:rFonts w:hint="eastAsia" w:ascii="仿宋_GB2312" w:eastAsia="仿宋_GB2312"/>
                <w:sz w:val="24"/>
              </w:rPr>
            </w:pPr>
            <w:r>
              <w:rPr>
                <w:rFonts w:hint="eastAsia" w:ascii="仿宋_GB2312" w:eastAsia="仿宋_GB2312"/>
                <w:sz w:val="24"/>
              </w:rPr>
              <w:t>B</w:t>
            </w:r>
          </w:p>
        </w:tc>
        <w:tc>
          <w:tcPr>
            <w:tcW w:w="1516" w:type="dxa"/>
            <w:tcBorders>
              <w:top w:val="single" w:color="auto" w:sz="4" w:space="0"/>
              <w:left w:val="single" w:color="auto" w:sz="4" w:space="0"/>
              <w:bottom w:val="single" w:color="auto" w:sz="4" w:space="0"/>
              <w:right w:val="single" w:color="auto" w:sz="4" w:space="0"/>
            </w:tcBorders>
          </w:tcPr>
          <w:p w14:paraId="1D837A1E">
            <w:pPr>
              <w:numPr>
                <w:ilvl w:val="255"/>
                <w:numId w:val="0"/>
              </w:numPr>
              <w:spacing w:after="0" w:line="560" w:lineRule="exact"/>
              <w:jc w:val="both"/>
              <w:rPr>
                <w:rFonts w:hint="eastAsia" w:ascii="仿宋_GB2312" w:eastAsia="仿宋_GB2312"/>
                <w:sz w:val="24"/>
              </w:rPr>
            </w:pPr>
            <w:r>
              <w:rPr>
                <w:rFonts w:hint="eastAsia" w:ascii="仿宋_GB2312" w:eastAsia="仿宋_GB2312"/>
                <w:sz w:val="24"/>
              </w:rPr>
              <w:t>专业层次（0.3）</w:t>
            </w:r>
          </w:p>
        </w:tc>
        <w:tc>
          <w:tcPr>
            <w:tcW w:w="5885" w:type="dxa"/>
            <w:tcBorders>
              <w:top w:val="single" w:color="auto" w:sz="4" w:space="0"/>
              <w:left w:val="single" w:color="auto" w:sz="4" w:space="0"/>
              <w:bottom w:val="single" w:color="auto" w:sz="4" w:space="0"/>
              <w:right w:val="single" w:color="auto" w:sz="4" w:space="0"/>
            </w:tcBorders>
          </w:tcPr>
          <w:p w14:paraId="57F0880B">
            <w:pPr>
              <w:numPr>
                <w:ilvl w:val="255"/>
                <w:numId w:val="0"/>
              </w:numPr>
              <w:spacing w:after="0" w:line="560" w:lineRule="exact"/>
              <w:jc w:val="both"/>
              <w:rPr>
                <w:rFonts w:hint="eastAsia" w:ascii="仿宋_GB2312" w:eastAsia="仿宋_GB2312"/>
                <w:sz w:val="24"/>
              </w:rPr>
            </w:pPr>
            <w:r>
              <w:rPr>
                <w:rFonts w:hint="eastAsia" w:ascii="仿宋_GB2312" w:eastAsia="仿宋_GB2312"/>
                <w:sz w:val="24"/>
              </w:rPr>
              <w:t>专业层次得分B=专业权重系数*指标权重（0.3）</w:t>
            </w:r>
          </w:p>
        </w:tc>
      </w:tr>
      <w:tr w14:paraId="1D0FD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9" w:hRule="atLeast"/>
        </w:trPr>
        <w:tc>
          <w:tcPr>
            <w:tcW w:w="1190" w:type="dxa"/>
            <w:tcBorders>
              <w:top w:val="single" w:color="auto" w:sz="4" w:space="0"/>
              <w:left w:val="single" w:color="auto" w:sz="4" w:space="0"/>
              <w:bottom w:val="single" w:color="auto" w:sz="4" w:space="0"/>
              <w:right w:val="single" w:color="auto" w:sz="4" w:space="0"/>
            </w:tcBorders>
          </w:tcPr>
          <w:p w14:paraId="3281A0E4">
            <w:pPr>
              <w:numPr>
                <w:ilvl w:val="255"/>
                <w:numId w:val="0"/>
              </w:numPr>
              <w:spacing w:after="0" w:line="560" w:lineRule="exact"/>
              <w:jc w:val="both"/>
              <w:rPr>
                <w:rFonts w:hint="eastAsia" w:ascii="仿宋_GB2312" w:eastAsia="仿宋_GB2312"/>
                <w:sz w:val="24"/>
              </w:rPr>
            </w:pPr>
            <w:r>
              <w:rPr>
                <w:rFonts w:hint="eastAsia" w:ascii="仿宋_GB2312" w:eastAsia="仿宋_GB2312"/>
                <w:sz w:val="24"/>
              </w:rPr>
              <w:t>C</w:t>
            </w:r>
          </w:p>
        </w:tc>
        <w:tc>
          <w:tcPr>
            <w:tcW w:w="1516" w:type="dxa"/>
            <w:tcBorders>
              <w:top w:val="single" w:color="auto" w:sz="4" w:space="0"/>
              <w:left w:val="single" w:color="auto" w:sz="4" w:space="0"/>
              <w:bottom w:val="single" w:color="auto" w:sz="4" w:space="0"/>
              <w:right w:val="single" w:color="auto" w:sz="4" w:space="0"/>
            </w:tcBorders>
          </w:tcPr>
          <w:p w14:paraId="32062B69">
            <w:pPr>
              <w:numPr>
                <w:ilvl w:val="255"/>
                <w:numId w:val="0"/>
              </w:numPr>
              <w:spacing w:after="0" w:line="560" w:lineRule="exact"/>
              <w:jc w:val="both"/>
              <w:rPr>
                <w:rFonts w:hint="eastAsia" w:ascii="仿宋_GB2312" w:eastAsia="仿宋_GB2312"/>
                <w:sz w:val="24"/>
              </w:rPr>
            </w:pPr>
            <w:r>
              <w:rPr>
                <w:rFonts w:hint="eastAsia" w:ascii="仿宋_GB2312" w:eastAsia="仿宋_GB2312"/>
                <w:sz w:val="24"/>
              </w:rPr>
              <w:t>升学率（0.1）</w:t>
            </w:r>
          </w:p>
        </w:tc>
        <w:tc>
          <w:tcPr>
            <w:tcW w:w="5885" w:type="dxa"/>
            <w:tcBorders>
              <w:top w:val="single" w:color="auto" w:sz="4" w:space="0"/>
              <w:left w:val="single" w:color="auto" w:sz="4" w:space="0"/>
              <w:bottom w:val="single" w:color="auto" w:sz="4" w:space="0"/>
              <w:right w:val="single" w:color="auto" w:sz="4" w:space="0"/>
            </w:tcBorders>
          </w:tcPr>
          <w:p w14:paraId="31BC3A28">
            <w:pPr>
              <w:numPr>
                <w:ilvl w:val="255"/>
                <w:numId w:val="0"/>
              </w:numPr>
              <w:spacing w:after="0" w:line="560" w:lineRule="exact"/>
              <w:jc w:val="both"/>
              <w:rPr>
                <w:rFonts w:hint="eastAsia" w:ascii="仿宋_GB2312" w:eastAsia="仿宋_GB2312"/>
                <w:sz w:val="24"/>
              </w:rPr>
            </w:pPr>
            <w:r>
              <w:rPr>
                <w:rFonts w:hint="eastAsia" w:ascii="仿宋_GB2312" w:eastAsia="仿宋_GB2312"/>
                <w:sz w:val="24"/>
              </w:rPr>
              <w:t>升学率得分=【专业当年学院内升学率C1*当届全院毕业生总数A2】以比高法（最高分为系数1）计算其他专业数值*指标权重（0.1）</w:t>
            </w:r>
          </w:p>
        </w:tc>
      </w:tr>
    </w:tbl>
    <w:p w14:paraId="3727FB97">
      <w:pPr>
        <w:numPr>
          <w:ilvl w:val="255"/>
          <w:numId w:val="0"/>
        </w:num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毕业生基数得分为</w:t>
      </w:r>
      <w:r>
        <w:rPr>
          <w:rFonts w:hint="eastAsia" w:ascii="仿宋_GB2312" w:eastAsia="仿宋_GB2312"/>
          <w:bCs/>
          <w:sz w:val="32"/>
          <w:szCs w:val="32"/>
        </w:rPr>
        <w:t>A，</w:t>
      </w:r>
      <w:r>
        <w:rPr>
          <w:rFonts w:hint="eastAsia" w:ascii="仿宋_GB2312" w:eastAsia="仿宋_GB2312"/>
          <w:sz w:val="32"/>
          <w:szCs w:val="32"/>
        </w:rPr>
        <w:t>当届专业学生数为A1，当届全院毕业生总数A2。</w:t>
      </w:r>
    </w:p>
    <w:p w14:paraId="13EB9D1C">
      <w:pPr>
        <w:numPr>
          <w:ilvl w:val="255"/>
          <w:numId w:val="0"/>
        </w:numPr>
        <w:spacing w:after="0" w:line="240" w:lineRule="auto"/>
        <w:ind w:firstLine="640" w:firstLineChars="200"/>
        <w:jc w:val="both"/>
        <w:rPr>
          <w:rFonts w:hint="eastAsia" w:ascii="仿宋_GB2312" w:eastAsia="仿宋_GB2312"/>
          <w:sz w:val="32"/>
          <w:szCs w:val="32"/>
        </w:rPr>
      </w:pPr>
      <w:r>
        <w:rPr>
          <w:rFonts w:hint="eastAsia" w:ascii="仿宋_GB2312" w:eastAsia="仿宋_GB2312"/>
          <w:sz w:val="32"/>
          <w:szCs w:val="32"/>
        </w:rPr>
        <w:t>专业层次得分为B，专业权重系数：国家级一流专业0.6，省级一流专业为0.3，通过国家工程认证专业0.2，支撑省级重点学科专业0.2，</w:t>
      </w:r>
      <w:bookmarkStart w:id="0" w:name="OLE_LINK2"/>
      <w:r>
        <w:rPr>
          <w:rFonts w:hint="eastAsia" w:ascii="仿宋_GB2312" w:eastAsia="仿宋_GB2312"/>
          <w:sz w:val="32"/>
          <w:szCs w:val="32"/>
        </w:rPr>
        <w:t>专业权重系数基准1.0，专业权重</w:t>
      </w:r>
      <w:bookmarkEnd w:id="0"/>
      <w:r>
        <w:rPr>
          <w:rFonts w:hint="eastAsia" w:ascii="仿宋_GB2312" w:eastAsia="仿宋_GB2312"/>
          <w:sz w:val="32"/>
          <w:szCs w:val="32"/>
        </w:rPr>
        <w:t>系数累积计数。</w:t>
      </w:r>
    </w:p>
    <w:p w14:paraId="50F6F910">
      <w:pPr>
        <w:numPr>
          <w:ilvl w:val="255"/>
          <w:numId w:val="0"/>
        </w:num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升学率得分为C，专业当年学院内升学率C1。</w:t>
      </w:r>
    </w:p>
    <w:p w14:paraId="4C79519E">
      <w:pPr>
        <w:numPr>
          <w:ilvl w:val="255"/>
          <w:numId w:val="0"/>
        </w:num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2.当学院推免名额大于或等于学院专业数时，优先每个专业分配1个名额，如果满足每个专业有1个名额后仍有多余名额的，多出名额(N)按照下列公式进行分配：</w:t>
      </w:r>
    </w:p>
    <w:p w14:paraId="3BAEE1FB">
      <w:pPr>
        <w:numPr>
          <w:ilvl w:val="255"/>
          <w:numId w:val="0"/>
        </w:numPr>
        <w:spacing w:after="0" w:line="240" w:lineRule="auto"/>
        <w:ind w:firstLine="440" w:firstLineChars="200"/>
        <w:jc w:val="both"/>
        <w:rPr>
          <w:rFonts w:hint="eastAsia"/>
        </w:rPr>
      </w:pPr>
      <w:r>
        <w:rPr>
          <w:rFonts w:hint="eastAsia"/>
          <w:position w:val="-32"/>
        </w:rPr>
        <w:object>
          <v:shape id="_x0000_i1025" o:spt="75" type="#_x0000_t75" style="height:48.4pt;width:181.9pt;" o:ole="t" filled="f" o:preferrelative="t" stroked="f" coordsize="21600,21600">
            <v:path/>
            <v:fill on="f" focussize="0,0"/>
            <v:stroke on="f" joinstyle="miter"/>
            <v:imagedata r:id="rId8" o:title=""/>
            <o:lock v:ext="edit" aspectratio="t"/>
            <w10:wrap type="none"/>
            <w10:anchorlock/>
          </v:shape>
          <o:OLEObject Type="Embed" ProgID="Equation.DSMT4" ShapeID="_x0000_i1025" DrawAspect="Content" ObjectID="_1468075725" r:id="rId7">
            <o:LockedField>false</o:LockedField>
          </o:OLEObject>
        </w:object>
      </w:r>
    </w:p>
    <w:p w14:paraId="341DEB79">
      <w:pPr>
        <w:numPr>
          <w:ilvl w:val="255"/>
          <w:numId w:val="0"/>
        </w:numPr>
        <w:spacing w:after="0" w:line="240" w:lineRule="auto"/>
        <w:ind w:firstLine="640" w:firstLineChars="200"/>
        <w:jc w:val="both"/>
        <w:rPr>
          <w:rFonts w:hint="eastAsia" w:ascii="仿宋_GB2312" w:eastAsia="仿宋_GB2312"/>
          <w:sz w:val="32"/>
          <w:szCs w:val="32"/>
        </w:rPr>
      </w:pPr>
      <w:r>
        <w:rPr>
          <w:rFonts w:hint="eastAsia" w:ascii="仿宋_GB2312" w:eastAsia="仿宋_GB2312"/>
          <w:sz w:val="32"/>
          <w:szCs w:val="32"/>
        </w:rPr>
        <w:t>式中</w:t>
      </w:r>
      <w:bookmarkStart w:id="1" w:name="OLE_LINK1"/>
      <w:r>
        <w:rPr>
          <w:rFonts w:hint="eastAsia" w:ascii="仿宋_GB2312" w:eastAsia="仿宋_GB2312"/>
          <w:sz w:val="32"/>
          <w:szCs w:val="32"/>
        </w:rPr>
        <w:t>，</w:t>
      </w:r>
      <w:r>
        <w:rPr>
          <w:rFonts w:hint="eastAsia" w:ascii="仿宋_GB2312" w:eastAsia="仿宋_GB2312"/>
          <w:i/>
          <w:iCs/>
          <w:sz w:val="32"/>
          <w:szCs w:val="32"/>
        </w:rPr>
        <w:t>A</w:t>
      </w:r>
      <w:r>
        <w:rPr>
          <w:rFonts w:hint="eastAsia" w:ascii="仿宋_GB2312" w:eastAsia="仿宋_GB2312"/>
          <w:i/>
          <w:iCs/>
          <w:sz w:val="32"/>
          <w:szCs w:val="32"/>
          <w:vertAlign w:val="subscript"/>
        </w:rPr>
        <w:t>i</w:t>
      </w:r>
      <w:r>
        <w:rPr>
          <w:rFonts w:hint="eastAsia" w:ascii="仿宋_GB2312" w:eastAsia="仿宋_GB2312"/>
          <w:sz w:val="32"/>
          <w:szCs w:val="32"/>
        </w:rPr>
        <w:t>当届各专业学生数</w:t>
      </w:r>
      <w:bookmarkEnd w:id="1"/>
      <w:r>
        <w:rPr>
          <w:rFonts w:hint="eastAsia" w:ascii="仿宋_GB2312" w:eastAsia="仿宋_GB2312"/>
          <w:sz w:val="32"/>
          <w:szCs w:val="32"/>
        </w:rPr>
        <w:t>,</w:t>
      </w:r>
      <w:r>
        <w:rPr>
          <w:rFonts w:hint="eastAsia" w:ascii="仿宋_GB2312" w:eastAsia="仿宋_GB2312"/>
          <w:i/>
          <w:iCs/>
          <w:sz w:val="32"/>
          <w:szCs w:val="32"/>
        </w:rPr>
        <w:t>B</w:t>
      </w:r>
      <w:r>
        <w:rPr>
          <w:rFonts w:hint="eastAsia" w:ascii="仿宋_GB2312" w:eastAsia="仿宋_GB2312"/>
          <w:i/>
          <w:iCs/>
          <w:sz w:val="32"/>
          <w:szCs w:val="32"/>
          <w:vertAlign w:val="subscript"/>
        </w:rPr>
        <w:t>i</w:t>
      </w:r>
      <w:r>
        <w:rPr>
          <w:rFonts w:hint="eastAsia" w:ascii="仿宋_GB2312" w:eastAsia="仿宋_GB2312"/>
          <w:sz w:val="32"/>
          <w:szCs w:val="32"/>
        </w:rPr>
        <w:t>为各专业权重系数；</w:t>
      </w:r>
      <w:bookmarkStart w:id="2" w:name="OLE_LINK3"/>
      <w:r>
        <w:rPr>
          <w:rFonts w:hint="eastAsia"/>
          <w:position w:val="-32"/>
        </w:rPr>
        <w:object>
          <v:shape id="_x0000_i1026" o:spt="75" type="#_x0000_t75" style="height:35pt;width:58pt;" o:ole="t" filled="f" o:preferrelative="t" stroked="f" coordsize="21600,21600">
            <v:path/>
            <v:fill on="f" focussize="0,0"/>
            <v:stroke on="f" joinstyle="miter"/>
            <v:imagedata r:id="rId10" o:title=""/>
            <o:lock v:ext="edit" aspectratio="t"/>
            <w10:wrap type="none"/>
            <w10:anchorlock/>
          </v:shape>
          <o:OLEObject Type="Embed" ProgID="Equation.DSMT4" ShapeID="_x0000_i1026" DrawAspect="Content" ObjectID="_1468075726" r:id="rId9">
            <o:LockedField>false</o:LockedField>
          </o:OLEObject>
        </w:object>
      </w:r>
      <w:bookmarkEnd w:id="2"/>
      <w:r>
        <w:rPr>
          <w:rFonts w:hint="eastAsia" w:ascii="仿宋_GB2312" w:eastAsia="仿宋_GB2312"/>
          <w:sz w:val="32"/>
          <w:szCs w:val="32"/>
        </w:rPr>
        <w:t>为多出名额(N)在各专业的分配数，</w:t>
      </w:r>
      <w:bookmarkStart w:id="3" w:name="OLE_LINK4"/>
      <w:r>
        <w:rPr>
          <w:rFonts w:hint="eastAsia" w:ascii="仿宋_GB2312" w:eastAsia="仿宋_GB2312"/>
          <w:sz w:val="32"/>
          <w:szCs w:val="32"/>
        </w:rPr>
        <w:t>首先按照整数部分分配名额，</w:t>
      </w:r>
      <w:r>
        <w:rPr>
          <w:rFonts w:hint="eastAsia" w:ascii="仿宋_GB2312" w:eastAsia="仿宋_GB2312"/>
          <w:sz w:val="32"/>
          <w:szCs w:val="32"/>
          <w:lang w:val="en-US" w:eastAsia="zh-CN"/>
        </w:rPr>
        <w:t>剩余名额</w:t>
      </w:r>
      <w:r>
        <w:rPr>
          <w:rFonts w:hint="eastAsia" w:ascii="仿宋_GB2312" w:eastAsia="仿宋_GB2312"/>
          <w:sz w:val="32"/>
          <w:szCs w:val="32"/>
        </w:rPr>
        <w:t>小数点</w:t>
      </w:r>
      <w:bookmarkEnd w:id="3"/>
      <w:r>
        <w:rPr>
          <w:rFonts w:hint="eastAsia" w:ascii="仿宋_GB2312" w:eastAsia="仿宋_GB2312"/>
          <w:sz w:val="32"/>
          <w:szCs w:val="32"/>
        </w:rPr>
        <w:t>后从大到小排序取整达到学校分配数量为止，比例相同时，按专业Y值从大到小优先。</w:t>
      </w:r>
    </w:p>
    <w:p w14:paraId="41573605">
      <w:pPr>
        <w:numPr>
          <w:ilvl w:val="255"/>
          <w:numId w:val="0"/>
        </w:num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最终名额分配，</w:t>
      </w:r>
      <w:r>
        <w:rPr>
          <w:rFonts w:hint="eastAsia" w:ascii="仿宋_GB2312" w:hAnsi="仿宋" w:eastAsia="仿宋_GB2312"/>
          <w:sz w:val="32"/>
          <w:szCs w:val="32"/>
        </w:rPr>
        <w:t>由</w:t>
      </w:r>
      <w:bookmarkStart w:id="4" w:name="OLE_LINK5"/>
      <w:r>
        <w:rPr>
          <w:rFonts w:hint="eastAsia" w:ascii="仿宋_GB2312" w:hAnsi="仿宋" w:eastAsia="仿宋_GB2312"/>
          <w:sz w:val="32"/>
          <w:szCs w:val="32"/>
        </w:rPr>
        <w:t>学院</w:t>
      </w:r>
      <w:r>
        <w:rPr>
          <w:rFonts w:hint="eastAsia" w:ascii="仿宋_GB2312" w:hAnsi="仿宋_GB2312" w:eastAsia="仿宋_GB2312" w:cs="仿宋_GB2312"/>
          <w:sz w:val="32"/>
          <w:szCs w:val="32"/>
          <w14:ligatures w14:val="none"/>
        </w:rPr>
        <w:t>推免工作小组</w:t>
      </w:r>
      <w:bookmarkEnd w:id="4"/>
      <w:r>
        <w:rPr>
          <w:rFonts w:hint="eastAsia" w:ascii="仿宋_GB2312" w:hAnsi="仿宋" w:eastAsia="仿宋_GB2312"/>
          <w:sz w:val="32"/>
          <w:szCs w:val="32"/>
        </w:rPr>
        <w:t>集体审核研究确定，并予以公示。</w:t>
      </w:r>
    </w:p>
    <w:p w14:paraId="49C04657">
      <w:pPr>
        <w:spacing w:after="0" w:line="560" w:lineRule="exact"/>
        <w:ind w:firstLine="643" w:firstLineChars="200"/>
        <w:jc w:val="both"/>
        <w:outlineLvl w:val="1"/>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六、成绩计算方法</w:t>
      </w:r>
    </w:p>
    <w:p w14:paraId="7057605A">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学院对申请推免且满足基本条件的学生进行综合测评并计算推免成绩，按推免成绩进行排序（推免成绩排名相同的学生，按学业成绩高低排名，如出现综合成绩及学业成绩均相同的情况，交由学院推免工作小组综合审核评定）,根据推免名额确定人选。推免成绩由学业成绩和附加成绩两部分组成，计算公式：</w:t>
      </w:r>
    </w:p>
    <w:p w14:paraId="63185A59">
      <w:pPr>
        <w:spacing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推免成绩=学业成绩+附加成绩（</w:t>
      </w:r>
      <w:r>
        <w:rPr>
          <w:rFonts w:hint="eastAsia" w:ascii="仿宋_GB2312" w:hAnsi="仿宋" w:eastAsia="仿宋_GB2312"/>
          <w:sz w:val="32"/>
          <w:szCs w:val="32"/>
        </w:rPr>
        <w:t>学业成绩和附加成绩</w:t>
      </w:r>
      <w:r>
        <w:rPr>
          <w:rFonts w:hint="eastAsia" w:ascii="仿宋_GB2312" w:hAnsi="仿宋_GB2312" w:eastAsia="仿宋_GB2312" w:cs="仿宋_GB2312"/>
          <w:sz w:val="32"/>
          <w:szCs w:val="32"/>
          <w14:ligatures w14:val="none"/>
        </w:rPr>
        <w:t>均精确到小数点后第2位，</w:t>
      </w:r>
      <w:bookmarkStart w:id="5" w:name="_Hlk207466310"/>
      <w:r>
        <w:rPr>
          <w:rFonts w:hint="eastAsia" w:ascii="仿宋_GB2312" w:hAnsi="仿宋_GB2312" w:eastAsia="仿宋_GB2312" w:cs="仿宋_GB2312"/>
          <w:sz w:val="32"/>
          <w:szCs w:val="32"/>
          <w14:ligatures w14:val="none"/>
        </w:rPr>
        <w:t>第3位小数采用四舍五入法处理</w:t>
      </w:r>
      <w:bookmarkEnd w:id="5"/>
      <w:r>
        <w:rPr>
          <w:rFonts w:hint="eastAsia" w:ascii="仿宋_GB2312" w:hAnsi="仿宋_GB2312" w:eastAsia="仿宋_GB2312" w:cs="仿宋_GB2312"/>
          <w:sz w:val="32"/>
          <w:szCs w:val="32"/>
          <w14:ligatures w14:val="none"/>
        </w:rPr>
        <w:t>）。</w:t>
      </w:r>
    </w:p>
    <w:p w14:paraId="384EF9B3">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一）学业成绩，满分100分。对于在前六学期中考核仅出现过一门不及格课程且补考或者第一次重修考试通过的申请者，在推免学业成绩核算中，该门课程成绩按正考成绩核算。发生转专业的学生，按转入后的专业培养方案核算；交流到外校的学生只计算在本校的学习成绩</w:t>
      </w:r>
      <w:r>
        <w:rPr>
          <w:rFonts w:hint="eastAsia" w:ascii="仿宋_GB2312" w:hAnsi="仿宋" w:eastAsia="仿宋_GB2312"/>
          <w:sz w:val="32"/>
          <w:szCs w:val="32"/>
        </w:rPr>
        <w:t>。</w:t>
      </w:r>
    </w:p>
    <w:p w14:paraId="48CE1B0C">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（二）附加成绩，满分6分。</w:t>
      </w:r>
      <w:r>
        <w:rPr>
          <w:rFonts w:hint="eastAsia" w:ascii="仿宋_GB2312" w:hAnsi="仿宋" w:eastAsia="仿宋_GB2312"/>
          <w:sz w:val="32"/>
          <w:szCs w:val="32"/>
        </w:rPr>
        <w:t>学校制定附加成绩认定指导意见，指标体系包括：参军入伍服兵役、参加志愿服务或到国际组织实习、学科竞赛获奖、科研创新成果、荣誉称号等。本科生在某一方面有多项加分情况时，原则上只取1项进行附加成绩认定。本科生与直系亲属或学历、职称、职务明显高于本人者（可出具相关证明的本校学业导师、科研团队导师、竞赛指导教师等本科人才培养指导体系内的人员除外）合作的竞赛获奖、科研创新成果等仅作为参考，不纳入本人附加成绩指标体系，其他同等条件下可优先考虑。</w:t>
      </w:r>
    </w:p>
    <w:p w14:paraId="25F07F17">
      <w:pPr>
        <w:spacing w:after="0" w:line="560" w:lineRule="exact"/>
        <w:ind w:firstLine="643" w:firstLineChars="200"/>
        <w:jc w:val="both"/>
        <w:outlineLvl w:val="1"/>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七、附加成绩计算方法</w:t>
      </w:r>
    </w:p>
    <w:p w14:paraId="16486622">
      <w:pPr>
        <w:spacing w:after="0" w:line="560" w:lineRule="exact"/>
        <w:ind w:firstLine="648" w:firstLineChars="200"/>
        <w:jc w:val="both"/>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2"/>
          <w:sz w:val="32"/>
          <w:szCs w:val="32"/>
        </w:rPr>
        <w:t>附加成绩由参军入伍服兵役、</w:t>
      </w:r>
      <w:r>
        <w:rPr>
          <w:rFonts w:hint="eastAsia" w:ascii="仿宋_GB2312" w:hAnsi="仿宋_GB2312" w:eastAsia="仿宋_GB2312" w:cs="仿宋_GB2312"/>
          <w:spacing w:val="9"/>
          <w:sz w:val="32"/>
          <w:szCs w:val="32"/>
        </w:rPr>
        <w:t>参加志愿服务或到国际组织实习、大学生学科竞赛获奖、科研创新成果及个人国家级、省级综合类荣誉称号等</w:t>
      </w:r>
      <w:r>
        <w:rPr>
          <w:rFonts w:hint="eastAsia" w:ascii="仿宋_GB2312" w:hAnsi="仿宋_GB2312" w:eastAsia="仿宋_GB2312" w:cs="仿宋_GB2312"/>
          <w:spacing w:val="2"/>
          <w:sz w:val="32"/>
          <w:szCs w:val="32"/>
        </w:rPr>
        <w:t>部分组成，认定上限为</w:t>
      </w:r>
      <w:r>
        <w:rPr>
          <w:rFonts w:hint="eastAsia" w:ascii="仿宋_GB2312" w:hAnsi="仿宋_GB2312" w:eastAsia="仿宋_GB2312" w:cs="仿宋_GB2312"/>
          <w:spacing w:val="-42"/>
          <w:sz w:val="32"/>
          <w:szCs w:val="32"/>
        </w:rPr>
        <w:t xml:space="preserve"> </w:t>
      </w:r>
      <w:r>
        <w:rPr>
          <w:rFonts w:hint="eastAsia" w:ascii="仿宋_GB2312" w:hAnsi="仿宋_GB2312" w:eastAsia="仿宋_GB2312" w:cs="仿宋_GB2312"/>
          <w:spacing w:val="2"/>
          <w:sz w:val="32"/>
          <w:szCs w:val="32"/>
        </w:rPr>
        <w:t>6</w:t>
      </w:r>
      <w:r>
        <w:rPr>
          <w:rFonts w:hint="eastAsia" w:ascii="仿宋_GB2312" w:hAnsi="仿宋_GB2312" w:eastAsia="仿宋_GB2312" w:cs="仿宋_GB2312"/>
          <w:spacing w:val="-60"/>
          <w:sz w:val="32"/>
          <w:szCs w:val="32"/>
        </w:rPr>
        <w:t xml:space="preserve"> </w:t>
      </w:r>
      <w:r>
        <w:rPr>
          <w:rFonts w:hint="eastAsia" w:ascii="仿宋_GB2312" w:hAnsi="仿宋_GB2312" w:eastAsia="仿宋_GB2312" w:cs="仿宋_GB2312"/>
          <w:spacing w:val="2"/>
          <w:sz w:val="32"/>
          <w:szCs w:val="32"/>
        </w:rPr>
        <w:t>分，且每项加分均设置上限，实行</w:t>
      </w:r>
      <w:r>
        <w:rPr>
          <w:rFonts w:hint="eastAsia" w:ascii="仿宋_GB2312" w:hAnsi="仿宋_GB2312" w:eastAsia="仿宋_GB2312" w:cs="仿宋_GB2312"/>
          <w:spacing w:val="3"/>
          <w:sz w:val="32"/>
          <w:szCs w:val="32"/>
        </w:rPr>
        <w:t>“代表作制”。</w:t>
      </w:r>
    </w:p>
    <w:p w14:paraId="7282D27B">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ascii="仿宋_GB2312" w:hAnsi="仿宋_GB2312" w:eastAsia="仿宋_GB2312" w:cs="仿宋_GB2312"/>
          <w:sz w:val="32"/>
          <w:szCs w:val="32"/>
          <w14:ligatures w14:val="none"/>
        </w:rPr>
        <w:t>（一）参军入伍服兵役</w:t>
      </w:r>
      <w:r>
        <w:rPr>
          <w:rFonts w:hint="eastAsia" w:ascii="仿宋_GB2312" w:hAnsi="仿宋_GB2312" w:eastAsia="仿宋_GB2312" w:cs="仿宋_GB2312"/>
          <w:sz w:val="32"/>
          <w:szCs w:val="32"/>
          <w14:ligatures w14:val="none"/>
        </w:rPr>
        <w:t>加分标准</w:t>
      </w:r>
    </w:p>
    <w:p w14:paraId="1FD1B85D">
      <w:pPr>
        <w:widowControl/>
        <w:kinsoku w:val="0"/>
        <w:autoSpaceDE w:val="0"/>
        <w:autoSpaceDN w:val="0"/>
        <w:adjustRightInd w:val="0"/>
        <w:snapToGrid w:val="0"/>
        <w:spacing w:line="560" w:lineRule="exact"/>
        <w:ind w:firstLine="624" w:firstLineChars="200"/>
        <w:jc w:val="both"/>
        <w:textAlignment w:val="baseline"/>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按照规定的服役周期节点退出现役的在校生加2分；在普通服兵役加分基础上，被评为“优秀士兵”“优秀士官”的学生每次另加0.5分，荣立三等功及以上加1分，该项加分上限为3分。</w:t>
      </w:r>
    </w:p>
    <w:p w14:paraId="4B9A8F0B">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ascii="仿宋_GB2312" w:hAnsi="仿宋_GB2312" w:eastAsia="仿宋_GB2312" w:cs="仿宋_GB2312"/>
          <w:sz w:val="32"/>
          <w:szCs w:val="32"/>
          <w14:ligatures w14:val="none"/>
        </w:rPr>
        <w:t>（二）参加志愿服务或到国际组织实习</w:t>
      </w:r>
      <w:r>
        <w:rPr>
          <w:rFonts w:hint="eastAsia" w:ascii="仿宋_GB2312" w:hAnsi="仿宋_GB2312" w:eastAsia="仿宋_GB2312" w:cs="仿宋_GB2312"/>
          <w:sz w:val="32"/>
          <w:szCs w:val="32"/>
          <w14:ligatures w14:val="none"/>
        </w:rPr>
        <w:t>加分标准</w:t>
      </w:r>
    </w:p>
    <w:p w14:paraId="036E68E0">
      <w:pPr>
        <w:pStyle w:val="12"/>
        <w:spacing w:line="560" w:lineRule="exact"/>
        <w:ind w:firstLine="624" w:firstLineChars="200"/>
        <w:jc w:val="both"/>
        <w:rPr>
          <w:rFonts w:hint="eastAsia"/>
          <w:color w:val="auto"/>
          <w:spacing w:val="1"/>
          <w:sz w:val="32"/>
          <w:szCs w:val="32"/>
          <w:lang w:eastAsia="zh-CN"/>
        </w:rPr>
      </w:pPr>
      <w:r>
        <w:rPr>
          <w:rFonts w:hint="eastAsia"/>
          <w:color w:val="auto"/>
          <w:spacing w:val="-4"/>
          <w:sz w:val="32"/>
          <w:szCs w:val="32"/>
          <w:lang w:eastAsia="zh-CN"/>
        </w:rPr>
        <w:t>参加由学校组织招募的志愿服务累计满80小时的基础上，原则上，参加由学校招募的国家级、国际级重大活动、赛事、会议等不少于1周的志愿服务，或赴国际组织实习1周及以上且表现突出，可予以加分。服务或实习每类各只认定1次，加分标准为每项0.25分/次，该项上限0.5分。</w:t>
      </w:r>
    </w:p>
    <w:p w14:paraId="3DB9FE9D">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ascii="仿宋_GB2312" w:hAnsi="仿宋_GB2312" w:eastAsia="仿宋_GB2312" w:cs="仿宋_GB2312"/>
          <w:sz w:val="32"/>
          <w:szCs w:val="32"/>
          <w14:ligatures w14:val="none"/>
        </w:rPr>
        <w:t>（三）大学生</w:t>
      </w:r>
      <w:r>
        <w:rPr>
          <w:rFonts w:hint="eastAsia" w:ascii="仿宋_GB2312" w:hAnsi="仿宋_GB2312" w:eastAsia="仿宋_GB2312" w:cs="仿宋_GB2312"/>
          <w:sz w:val="32"/>
          <w:szCs w:val="32"/>
          <w14:ligatures w14:val="none"/>
        </w:rPr>
        <w:t>学科</w:t>
      </w:r>
      <w:r>
        <w:rPr>
          <w:rFonts w:ascii="仿宋_GB2312" w:hAnsi="仿宋_GB2312" w:eastAsia="仿宋_GB2312" w:cs="仿宋_GB2312"/>
          <w:sz w:val="32"/>
          <w:szCs w:val="32"/>
          <w14:ligatures w14:val="none"/>
        </w:rPr>
        <w:t>竞赛获奖</w:t>
      </w:r>
      <w:r>
        <w:rPr>
          <w:rFonts w:hint="eastAsia" w:ascii="仿宋_GB2312" w:hAnsi="仿宋_GB2312" w:eastAsia="仿宋_GB2312" w:cs="仿宋_GB2312"/>
          <w:sz w:val="32"/>
          <w:szCs w:val="32"/>
          <w14:ligatures w14:val="none"/>
        </w:rPr>
        <w:t>加分标准</w:t>
      </w:r>
    </w:p>
    <w:p w14:paraId="2369B171">
      <w:pPr>
        <w:pStyle w:val="12"/>
        <w:spacing w:line="560" w:lineRule="exact"/>
        <w:ind w:firstLine="624" w:firstLineChars="200"/>
        <w:jc w:val="both"/>
        <w:rPr>
          <w:rFonts w:hint="eastAsia"/>
          <w:color w:val="auto"/>
          <w:spacing w:val="-4"/>
          <w:sz w:val="32"/>
          <w:szCs w:val="32"/>
          <w:lang w:eastAsia="zh-CN"/>
        </w:rPr>
      </w:pPr>
      <w:r>
        <w:rPr>
          <w:rFonts w:hint="eastAsia"/>
          <w:color w:val="auto"/>
          <w:spacing w:val="-4"/>
          <w:sz w:val="32"/>
          <w:szCs w:val="32"/>
          <w:lang w:eastAsia="zh-CN"/>
        </w:rPr>
        <w:t>作为主力队员参加学校组织报名的竞赛，根据学校现行《河北科技大学本科生学科竞赛管理办法》，竞赛范围为</w:t>
      </w:r>
      <w:r>
        <w:rPr>
          <w:rFonts w:hint="eastAsia"/>
          <w:color w:val="auto"/>
          <w:sz w:val="32"/>
          <w:szCs w:val="32"/>
          <w:lang w:eastAsia="zh-CN"/>
        </w:rPr>
        <w:t>学院认定的</w:t>
      </w:r>
      <w:r>
        <w:rPr>
          <w:rFonts w:hint="eastAsia"/>
          <w:color w:val="auto"/>
          <w:spacing w:val="-4"/>
          <w:sz w:val="32"/>
          <w:szCs w:val="32"/>
          <w:lang w:eastAsia="zh-CN"/>
        </w:rPr>
        <w:t>一类竞赛 A、B、C、D 四个等级竞赛（详见附件1），本项加分仅限全国奖，第一完成单位为河北科技大学。</w:t>
      </w:r>
    </w:p>
    <w:p w14:paraId="28C8FED0">
      <w:pPr>
        <w:pStyle w:val="12"/>
        <w:spacing w:line="560" w:lineRule="exact"/>
        <w:ind w:firstLine="624" w:firstLineChars="200"/>
        <w:jc w:val="both"/>
        <w:rPr>
          <w:rFonts w:hint="eastAsia"/>
          <w:color w:val="auto"/>
          <w:spacing w:val="2"/>
          <w:sz w:val="32"/>
          <w:szCs w:val="32"/>
          <w:lang w:eastAsia="zh-CN"/>
        </w:rPr>
      </w:pPr>
      <w:r>
        <w:rPr>
          <w:rFonts w:hint="eastAsia"/>
          <w:color w:val="auto"/>
          <w:spacing w:val="-4"/>
          <w:sz w:val="32"/>
          <w:szCs w:val="32"/>
          <w:lang w:eastAsia="zh-CN"/>
        </w:rPr>
        <w:t>一类竞赛获国家级奖参照《大学生学科竞赛加分对应表》（表2）所列标准予以加分，其中，团队参赛中获奖证书明确排名的，前3名按照该标准予以加分，第4、5名按照乘系数0.5予以加分，第6名及以后不做附加分认定;无法确定排名的，队员为5名以内的，按照乘系数0.6予以加分，超过5名的不做附加分认定。</w:t>
      </w:r>
      <w:r>
        <w:rPr>
          <w:rFonts w:hint="eastAsia"/>
          <w:color w:val="auto"/>
          <w:spacing w:val="2"/>
          <w:sz w:val="32"/>
          <w:szCs w:val="32"/>
          <w:lang w:eastAsia="zh-CN"/>
        </w:rPr>
        <w:t>竞</w:t>
      </w:r>
      <w:r>
        <w:rPr>
          <w:rFonts w:hint="eastAsia"/>
          <w:color w:val="auto"/>
          <w:spacing w:val="9"/>
          <w:sz w:val="32"/>
          <w:szCs w:val="32"/>
          <w:lang w:eastAsia="zh-CN"/>
        </w:rPr>
        <w:t>赛</w:t>
      </w:r>
      <w:r>
        <w:rPr>
          <w:rFonts w:hint="eastAsia"/>
          <w:color w:val="auto"/>
          <w:spacing w:val="2"/>
          <w:sz w:val="32"/>
          <w:szCs w:val="32"/>
          <w:lang w:eastAsia="zh-CN"/>
        </w:rPr>
        <w:t>获奖等级以该项赛事当年的奖项设置为依据，竞赛分级以报名时学校正在执行的相关文件为准。如竞赛中存在特等奖，且特等奖唯一，则特等奖和一等奖均为第一档，后续奖依次类推，截止到三等奖；如竞赛中存在特等奖，且特等奖不唯一，则特等奖为第一档，一等奖为第二档，后续奖依次类推，截止到三等奖；如竞赛中不存在特等奖，则一等奖为第一档，后续奖依次类推，截止到三等奖。</w:t>
      </w:r>
    </w:p>
    <w:p w14:paraId="41E44555">
      <w:pPr>
        <w:pStyle w:val="12"/>
        <w:spacing w:line="560" w:lineRule="exact"/>
        <w:ind w:firstLine="648" w:firstLineChars="200"/>
        <w:jc w:val="both"/>
        <w:rPr>
          <w:rFonts w:hint="eastAsia"/>
          <w:color w:val="auto"/>
          <w:spacing w:val="2"/>
          <w:sz w:val="32"/>
          <w:szCs w:val="32"/>
          <w:lang w:eastAsia="zh-CN"/>
        </w:rPr>
      </w:pPr>
      <w:r>
        <w:rPr>
          <w:rFonts w:hint="eastAsia"/>
          <w:color w:val="auto"/>
          <w:spacing w:val="2"/>
          <w:sz w:val="32"/>
          <w:szCs w:val="32"/>
          <w:lang w:eastAsia="zh-CN"/>
        </w:rPr>
        <w:t>学科竞赛的专项赛获奖按照</w:t>
      </w:r>
      <w:r>
        <w:rPr>
          <w:rFonts w:hint="eastAsia"/>
          <w:color w:val="auto"/>
          <w:spacing w:val="6"/>
          <w:sz w:val="32"/>
          <w:szCs w:val="32"/>
          <w:lang w:eastAsia="zh-CN"/>
        </w:rPr>
        <w:t>《大学生学科竞赛加分对应表》</w:t>
      </w:r>
      <w:r>
        <w:rPr>
          <w:rFonts w:hint="eastAsia"/>
          <w:color w:val="auto"/>
          <w:spacing w:val="2"/>
          <w:sz w:val="32"/>
          <w:szCs w:val="32"/>
          <w:lang w:eastAsia="zh-CN"/>
        </w:rPr>
        <w:t>的标准基础上乘系数0.5。</w:t>
      </w:r>
    </w:p>
    <w:p w14:paraId="6D44AA90">
      <w:pPr>
        <w:spacing w:after="0" w:line="560" w:lineRule="exact"/>
        <w:ind w:firstLine="664" w:firstLineChars="200"/>
        <w:rPr>
          <w:rFonts w:hint="eastAsia" w:ascii="仿宋_GB2312" w:hAnsi="仿宋_GB2312" w:eastAsia="仿宋_GB2312" w:cs="仿宋_GB2312"/>
          <w:sz w:val="24"/>
          <w14:ligatures w14:val="none"/>
        </w:rPr>
      </w:pPr>
      <w:r>
        <w:rPr>
          <w:rFonts w:hint="eastAsia" w:ascii="仿宋_GB2312" w:hAnsi="仿宋_GB2312" w:eastAsia="仿宋_GB2312" w:cs="仿宋_GB2312"/>
          <w:spacing w:val="6"/>
          <w:sz w:val="32"/>
          <w:szCs w:val="32"/>
        </w:rPr>
        <w:t>本科生在学期间所有的竞赛获奖项目中，只取1个最高加分项加分</w:t>
      </w:r>
      <w:r>
        <w:rPr>
          <w:rFonts w:hint="eastAsia" w:ascii="仿宋_GB2312" w:hAnsi="仿宋_GB2312" w:eastAsia="仿宋_GB2312" w:cs="仿宋_GB2312"/>
          <w:sz w:val="32"/>
          <w:szCs w:val="32"/>
        </w:rPr>
        <w:t>，该项加分上限为4</w:t>
      </w:r>
      <w:r>
        <w:rPr>
          <w:rFonts w:hint="eastAsia" w:ascii="仿宋_GB2312" w:hAnsi="仿宋_GB2312" w:eastAsia="仿宋_GB2312" w:cs="仿宋_GB2312"/>
          <w:spacing w:val="-59"/>
          <w:sz w:val="32"/>
          <w:szCs w:val="32"/>
        </w:rPr>
        <w:t xml:space="preserve"> </w:t>
      </w:r>
      <w:r>
        <w:rPr>
          <w:rFonts w:hint="eastAsia" w:ascii="仿宋_GB2312" w:hAnsi="仿宋_GB2312" w:eastAsia="仿宋_GB2312" w:cs="仿宋_GB2312"/>
          <w:sz w:val="32"/>
          <w:szCs w:val="32"/>
        </w:rPr>
        <w:t>分。</w:t>
      </w:r>
    </w:p>
    <w:p w14:paraId="63CFA7A1">
      <w:pPr>
        <w:spacing w:after="0" w:line="560" w:lineRule="exact"/>
        <w:jc w:val="center"/>
        <w:rPr>
          <w:rFonts w:ascii="仿宋_GB2312" w:hAnsi="仿宋_GB2312" w:eastAsia="仿宋_GB2312" w:cs="仿宋_GB2312"/>
          <w:sz w:val="32"/>
          <w:szCs w:val="32"/>
          <w14:ligatures w14:val="none"/>
        </w:rPr>
      </w:pPr>
    </w:p>
    <w:p w14:paraId="7E504A99">
      <w:pPr>
        <w:numPr>
          <w:ilvl w:val="255"/>
          <w:numId w:val="0"/>
        </w:numPr>
        <w:spacing w:after="0" w:line="560" w:lineRule="exact"/>
        <w:jc w:val="center"/>
        <w:rPr>
          <w:rFonts w:hint="eastAsia" w:ascii="仿宋_GB2312" w:eastAsia="仿宋_GB2312"/>
          <w:sz w:val="32"/>
          <w:szCs w:val="32"/>
        </w:rPr>
      </w:pPr>
      <w:r>
        <w:rPr>
          <w:rFonts w:hint="eastAsia" w:ascii="仿宋_GB2312" w:eastAsia="仿宋_GB2312"/>
          <w:sz w:val="32"/>
          <w:szCs w:val="32"/>
        </w:rPr>
        <w:t>表2 大学生学科竞赛加分对应表</w:t>
      </w:r>
    </w:p>
    <w:tbl>
      <w:tblPr>
        <w:tblStyle w:val="40"/>
        <w:tblW w:w="88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2"/>
        <w:gridCol w:w="1664"/>
        <w:gridCol w:w="1911"/>
        <w:gridCol w:w="1912"/>
        <w:gridCol w:w="1912"/>
      </w:tblGrid>
      <w:tr w14:paraId="5DB831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472" w:type="dxa"/>
            <w:tcBorders>
              <w:tl2br w:val="single" w:color="000000" w:sz="4" w:space="0"/>
            </w:tcBorders>
          </w:tcPr>
          <w:p w14:paraId="694ACC30">
            <w:pPr>
              <w:spacing w:after="0" w:line="560" w:lineRule="exact"/>
              <w:jc w:val="right"/>
              <w:rPr>
                <w:rFonts w:hint="eastAsia" w:ascii="仿宋_GB2312" w:hAnsi="仿宋_GB2312" w:eastAsia="仿宋_GB2312" w:cs="仿宋_GB2312"/>
                <w:sz w:val="24"/>
                <w14:ligatures w14:val="none"/>
              </w:rPr>
            </w:pPr>
            <w:r>
              <w:rPr>
                <w:rFonts w:ascii="仿宋_GB2312" w:hAnsi="仿宋_GB2312" w:eastAsia="仿宋_GB2312" w:cs="仿宋_GB2312"/>
                <w:sz w:val="24"/>
                <w14:ligatures w14:val="none"/>
              </w:rPr>
              <w:t>等级</w:t>
            </w:r>
          </w:p>
          <w:p w14:paraId="758829F9">
            <w:pPr>
              <w:spacing w:after="0" w:line="560" w:lineRule="exact"/>
              <w:ind w:firstLine="240" w:firstLineChars="100"/>
              <w:rPr>
                <w:rFonts w:hint="eastAsia" w:ascii="仿宋_GB2312" w:hAnsi="仿宋_GB2312" w:eastAsia="仿宋_GB2312" w:cs="仿宋_GB2312"/>
                <w:sz w:val="24"/>
                <w14:ligatures w14:val="none"/>
              </w:rPr>
            </w:pPr>
            <w:r>
              <w:rPr>
                <w:rFonts w:ascii="仿宋_GB2312" w:hAnsi="仿宋_GB2312" w:eastAsia="仿宋_GB2312" w:cs="仿宋_GB2312"/>
                <w:sz w:val="24"/>
                <w14:ligatures w14:val="none"/>
              </w:rPr>
              <w:t>类别</w:t>
            </w:r>
          </w:p>
        </w:tc>
        <w:tc>
          <w:tcPr>
            <w:tcW w:w="1664" w:type="dxa"/>
            <w:vAlign w:val="center"/>
          </w:tcPr>
          <w:p w14:paraId="03BF1BD0">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第一档</w:t>
            </w:r>
          </w:p>
          <w:p w14:paraId="559AB2D5">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或金奖</w:t>
            </w:r>
          </w:p>
        </w:tc>
        <w:tc>
          <w:tcPr>
            <w:tcW w:w="1911" w:type="dxa"/>
            <w:vAlign w:val="center"/>
          </w:tcPr>
          <w:p w14:paraId="2ACB7F08">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第二档</w:t>
            </w:r>
          </w:p>
          <w:p w14:paraId="5BD50DBA">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或银奖</w:t>
            </w:r>
          </w:p>
        </w:tc>
        <w:tc>
          <w:tcPr>
            <w:tcW w:w="1912" w:type="dxa"/>
            <w:vAlign w:val="center"/>
          </w:tcPr>
          <w:p w14:paraId="177C7EC6">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第三档</w:t>
            </w:r>
          </w:p>
          <w:p w14:paraId="1E18427B">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或铜奖</w:t>
            </w:r>
          </w:p>
        </w:tc>
        <w:tc>
          <w:tcPr>
            <w:tcW w:w="1912" w:type="dxa"/>
            <w:vAlign w:val="center"/>
          </w:tcPr>
          <w:p w14:paraId="23BB2647">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第四档</w:t>
            </w:r>
          </w:p>
        </w:tc>
      </w:tr>
      <w:tr w14:paraId="440AA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1472" w:type="dxa"/>
            <w:vAlign w:val="center"/>
          </w:tcPr>
          <w:p w14:paraId="7E40C54D">
            <w:pPr>
              <w:spacing w:after="0" w:line="560" w:lineRule="exact"/>
              <w:jc w:val="center"/>
              <w:rPr>
                <w:rFonts w:hint="eastAsia" w:ascii="仿宋_GB2312" w:hAnsi="仿宋_GB2312" w:eastAsia="仿宋_GB2312" w:cs="仿宋_GB2312"/>
                <w:sz w:val="24"/>
                <w14:ligatures w14:val="none"/>
              </w:rPr>
            </w:pPr>
            <w:r>
              <w:rPr>
                <w:rFonts w:ascii="仿宋_GB2312" w:hAnsi="仿宋_GB2312" w:eastAsia="仿宋_GB2312" w:cs="仿宋_GB2312"/>
                <w:sz w:val="24"/>
                <w14:ligatures w14:val="none"/>
              </w:rPr>
              <w:t>A级</w:t>
            </w:r>
          </w:p>
        </w:tc>
        <w:tc>
          <w:tcPr>
            <w:tcW w:w="1664" w:type="dxa"/>
            <w:vAlign w:val="center"/>
          </w:tcPr>
          <w:p w14:paraId="15DE1BC7">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4</w:t>
            </w:r>
          </w:p>
        </w:tc>
        <w:tc>
          <w:tcPr>
            <w:tcW w:w="1911" w:type="dxa"/>
            <w:vAlign w:val="center"/>
          </w:tcPr>
          <w:p w14:paraId="04DC5E10">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3.5</w:t>
            </w:r>
          </w:p>
        </w:tc>
        <w:tc>
          <w:tcPr>
            <w:tcW w:w="1912" w:type="dxa"/>
            <w:vAlign w:val="center"/>
          </w:tcPr>
          <w:p w14:paraId="15114B34">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3</w:t>
            </w:r>
          </w:p>
        </w:tc>
        <w:tc>
          <w:tcPr>
            <w:tcW w:w="1912" w:type="dxa"/>
            <w:vAlign w:val="center"/>
          </w:tcPr>
          <w:p w14:paraId="537ED6FE">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2.5</w:t>
            </w:r>
          </w:p>
        </w:tc>
      </w:tr>
      <w:tr w14:paraId="53B6B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1472" w:type="dxa"/>
            <w:vAlign w:val="center"/>
          </w:tcPr>
          <w:p w14:paraId="67591849">
            <w:pPr>
              <w:spacing w:after="0" w:line="560" w:lineRule="exact"/>
              <w:jc w:val="center"/>
              <w:rPr>
                <w:rFonts w:hint="eastAsia" w:ascii="仿宋_GB2312" w:hAnsi="仿宋_GB2312" w:eastAsia="仿宋_GB2312" w:cs="仿宋_GB2312"/>
                <w:sz w:val="24"/>
                <w14:ligatures w14:val="none"/>
              </w:rPr>
            </w:pPr>
            <w:r>
              <w:rPr>
                <w:rFonts w:ascii="仿宋_GB2312" w:hAnsi="仿宋_GB2312" w:eastAsia="仿宋_GB2312" w:cs="仿宋_GB2312"/>
                <w:sz w:val="24"/>
                <w14:ligatures w14:val="none"/>
              </w:rPr>
              <w:t>B级</w:t>
            </w:r>
          </w:p>
        </w:tc>
        <w:tc>
          <w:tcPr>
            <w:tcW w:w="1664" w:type="dxa"/>
            <w:vAlign w:val="center"/>
          </w:tcPr>
          <w:p w14:paraId="600583C8">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3.5</w:t>
            </w:r>
          </w:p>
        </w:tc>
        <w:tc>
          <w:tcPr>
            <w:tcW w:w="1911" w:type="dxa"/>
            <w:vAlign w:val="center"/>
          </w:tcPr>
          <w:p w14:paraId="4E9D72A3">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3</w:t>
            </w:r>
          </w:p>
        </w:tc>
        <w:tc>
          <w:tcPr>
            <w:tcW w:w="1912" w:type="dxa"/>
            <w:vAlign w:val="center"/>
          </w:tcPr>
          <w:p w14:paraId="0943AF09">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2.5</w:t>
            </w:r>
          </w:p>
        </w:tc>
        <w:tc>
          <w:tcPr>
            <w:tcW w:w="1912" w:type="dxa"/>
            <w:vAlign w:val="center"/>
          </w:tcPr>
          <w:p w14:paraId="049E9B41">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2</w:t>
            </w:r>
          </w:p>
        </w:tc>
      </w:tr>
      <w:tr w14:paraId="0D12B1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1472" w:type="dxa"/>
            <w:vAlign w:val="center"/>
          </w:tcPr>
          <w:p w14:paraId="24502B67">
            <w:pPr>
              <w:spacing w:after="0" w:line="560" w:lineRule="exact"/>
              <w:jc w:val="center"/>
              <w:rPr>
                <w:rFonts w:hint="eastAsia" w:ascii="仿宋_GB2312" w:hAnsi="仿宋_GB2312" w:eastAsia="仿宋_GB2312" w:cs="仿宋_GB2312"/>
                <w:sz w:val="24"/>
                <w14:ligatures w14:val="none"/>
              </w:rPr>
            </w:pPr>
            <w:r>
              <w:rPr>
                <w:rFonts w:ascii="仿宋_GB2312" w:hAnsi="仿宋_GB2312" w:eastAsia="仿宋_GB2312" w:cs="仿宋_GB2312"/>
                <w:sz w:val="24"/>
                <w14:ligatures w14:val="none"/>
              </w:rPr>
              <w:t>C级</w:t>
            </w:r>
          </w:p>
        </w:tc>
        <w:tc>
          <w:tcPr>
            <w:tcW w:w="1664" w:type="dxa"/>
            <w:vAlign w:val="center"/>
          </w:tcPr>
          <w:p w14:paraId="329DC62A">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3</w:t>
            </w:r>
          </w:p>
        </w:tc>
        <w:tc>
          <w:tcPr>
            <w:tcW w:w="1911" w:type="dxa"/>
            <w:vAlign w:val="center"/>
          </w:tcPr>
          <w:p w14:paraId="69C8187D">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2.5</w:t>
            </w:r>
          </w:p>
        </w:tc>
        <w:tc>
          <w:tcPr>
            <w:tcW w:w="1912" w:type="dxa"/>
            <w:vAlign w:val="center"/>
          </w:tcPr>
          <w:p w14:paraId="3C606E71">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2</w:t>
            </w:r>
          </w:p>
        </w:tc>
        <w:tc>
          <w:tcPr>
            <w:tcW w:w="1912" w:type="dxa"/>
            <w:vAlign w:val="center"/>
          </w:tcPr>
          <w:p w14:paraId="5A79C8A1">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1.5</w:t>
            </w:r>
          </w:p>
        </w:tc>
      </w:tr>
      <w:tr w14:paraId="6BCB0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1472" w:type="dxa"/>
            <w:vAlign w:val="center"/>
          </w:tcPr>
          <w:p w14:paraId="213787AE">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D级</w:t>
            </w:r>
          </w:p>
        </w:tc>
        <w:tc>
          <w:tcPr>
            <w:tcW w:w="1664" w:type="dxa"/>
            <w:vAlign w:val="center"/>
          </w:tcPr>
          <w:p w14:paraId="6A5CD069">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2</w:t>
            </w:r>
          </w:p>
        </w:tc>
        <w:tc>
          <w:tcPr>
            <w:tcW w:w="1911" w:type="dxa"/>
            <w:vAlign w:val="center"/>
          </w:tcPr>
          <w:p w14:paraId="05B440D0">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1</w:t>
            </w:r>
          </w:p>
        </w:tc>
        <w:tc>
          <w:tcPr>
            <w:tcW w:w="1912" w:type="dxa"/>
            <w:vAlign w:val="center"/>
          </w:tcPr>
          <w:p w14:paraId="6F2717EB">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0.5</w:t>
            </w:r>
          </w:p>
        </w:tc>
        <w:tc>
          <w:tcPr>
            <w:tcW w:w="1912" w:type="dxa"/>
            <w:vAlign w:val="center"/>
          </w:tcPr>
          <w:p w14:paraId="49CD8097">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0.5</w:t>
            </w:r>
          </w:p>
        </w:tc>
      </w:tr>
    </w:tbl>
    <w:p w14:paraId="661FC367">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ascii="仿宋_GB2312" w:hAnsi="仿宋_GB2312" w:eastAsia="仿宋_GB2312" w:cs="仿宋_GB2312"/>
          <w:sz w:val="32"/>
          <w:szCs w:val="32"/>
          <w14:ligatures w14:val="none"/>
        </w:rPr>
        <w:t>（四）科研创新成果</w:t>
      </w:r>
      <w:r>
        <w:rPr>
          <w:rFonts w:hint="eastAsia" w:ascii="仿宋_GB2312" w:hAnsi="仿宋_GB2312" w:eastAsia="仿宋_GB2312" w:cs="仿宋_GB2312"/>
          <w:sz w:val="32"/>
          <w:szCs w:val="32"/>
          <w14:ligatures w14:val="none"/>
        </w:rPr>
        <w:t>加分标准</w:t>
      </w:r>
    </w:p>
    <w:p w14:paraId="6B9829D8">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ascii="仿宋_GB2312" w:hAnsi="仿宋_GB2312" w:eastAsia="仿宋_GB2312" w:cs="仿宋_GB2312"/>
          <w:sz w:val="32"/>
          <w:szCs w:val="32"/>
          <w14:ligatures w14:val="none"/>
        </w:rPr>
        <w:t>科研创新成果包括</w:t>
      </w:r>
      <w:r>
        <w:rPr>
          <w:rFonts w:hint="eastAsia" w:ascii="仿宋_GB2312" w:hAnsi="仿宋_GB2312" w:eastAsia="仿宋_GB2312" w:cs="仿宋_GB2312"/>
          <w:sz w:val="32"/>
          <w:szCs w:val="32"/>
          <w14:ligatures w14:val="none"/>
        </w:rPr>
        <w:t>发表的学术论文和发明专利成果。</w:t>
      </w:r>
    </w:p>
    <w:p w14:paraId="478A4518">
      <w:pPr>
        <w:spacing w:after="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14:ligatures w14:val="none"/>
        </w:rPr>
        <w:t>1.论文的认定需</w:t>
      </w:r>
      <w:r>
        <w:rPr>
          <w:rFonts w:hint="eastAsia" w:ascii="仿宋_GB2312" w:hAnsi="仿宋_GB2312" w:eastAsia="仿宋_GB2312" w:cs="仿宋_GB2312"/>
          <w:sz w:val="32"/>
          <w:szCs w:val="32"/>
        </w:rPr>
        <w:t>河北科技大学为第一署名单位，并符合下述条件之一：</w:t>
      </w:r>
    </w:p>
    <w:p w14:paraId="1E898CDA">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（1）申请人为</w:t>
      </w:r>
      <w:r>
        <w:rPr>
          <w:rFonts w:ascii="仿宋_GB2312" w:hAnsi="仿宋_GB2312" w:eastAsia="仿宋_GB2312" w:cs="仿宋_GB2312"/>
          <w:sz w:val="32"/>
          <w:szCs w:val="32"/>
          <w14:ligatures w14:val="none"/>
        </w:rPr>
        <w:t>第一作者或独立作者</w:t>
      </w:r>
      <w:r>
        <w:rPr>
          <w:rFonts w:hint="eastAsia" w:ascii="仿宋_GB2312" w:hAnsi="仿宋_GB2312" w:eastAsia="仿宋_GB2312" w:cs="仿宋_GB2312"/>
          <w:sz w:val="32"/>
          <w:szCs w:val="32"/>
          <w14:ligatures w14:val="none"/>
        </w:rPr>
        <w:t>;</w:t>
      </w:r>
    </w:p>
    <w:p w14:paraId="1DED4696">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（2）本校导师为第一作者申请人为第二作者;</w:t>
      </w:r>
    </w:p>
    <w:p w14:paraId="32B9B598">
      <w:pPr>
        <w:pStyle w:val="12"/>
        <w:spacing w:line="560" w:lineRule="exact"/>
        <w:ind w:firstLine="660" w:firstLineChars="200"/>
        <w:jc w:val="both"/>
        <w:rPr>
          <w:rFonts w:hint="eastAsia"/>
          <w:color w:val="auto"/>
          <w:sz w:val="32"/>
          <w:szCs w:val="32"/>
          <w:lang w:eastAsia="zh-CN"/>
        </w:rPr>
      </w:pPr>
      <w:r>
        <w:rPr>
          <w:rFonts w:hint="eastAsia"/>
          <w:color w:val="auto"/>
          <w:spacing w:val="5"/>
          <w:sz w:val="32"/>
          <w:szCs w:val="32"/>
          <w:lang w:eastAsia="zh-CN"/>
        </w:rPr>
        <w:t>如有其他本科生为共同第一作者的，只计算排名第一的本科生，论文的认定依据按照学校有关规定执行，其中工、理、医学科论文的认定范围为D档及以上，文、经、管、法、教育、艺术学科论文的认定范围为E档及以上。</w:t>
      </w:r>
    </w:p>
    <w:p w14:paraId="19785E8A">
      <w:pPr>
        <w:pStyle w:val="12"/>
        <w:spacing w:line="560" w:lineRule="exact"/>
        <w:ind w:firstLine="640" w:firstLineChars="200"/>
        <w:jc w:val="both"/>
        <w:rPr>
          <w:rFonts w:hint="eastAsia"/>
          <w:color w:val="auto"/>
          <w:spacing w:val="5"/>
          <w:sz w:val="32"/>
          <w:szCs w:val="32"/>
          <w:lang w:eastAsia="zh-CN"/>
        </w:rPr>
      </w:pPr>
      <w:r>
        <w:rPr>
          <w:rFonts w:hint="eastAsia"/>
          <w:color w:val="auto"/>
          <w:sz w:val="32"/>
          <w:szCs w:val="32"/>
          <w:lang w:eastAsia="zh-CN"/>
        </w:rPr>
        <w:t>2.</w:t>
      </w:r>
      <w:r>
        <w:rPr>
          <w:rFonts w:hint="eastAsia"/>
          <w:color w:val="auto"/>
          <w:spacing w:val="5"/>
          <w:sz w:val="32"/>
          <w:szCs w:val="32"/>
          <w:lang w:eastAsia="zh-CN"/>
        </w:rPr>
        <w:t>发明专利成果的认定需为原始取得、河北科技大学拥有专利权授权且与所学专业相关，并符合下述条件之一：</w:t>
      </w:r>
    </w:p>
    <w:p w14:paraId="39CF9133">
      <w:pPr>
        <w:pStyle w:val="12"/>
        <w:spacing w:line="560" w:lineRule="exact"/>
        <w:ind w:firstLine="660" w:firstLineChars="200"/>
        <w:jc w:val="both"/>
        <w:rPr>
          <w:rFonts w:hint="eastAsia"/>
          <w:color w:val="auto"/>
          <w:spacing w:val="5"/>
          <w:sz w:val="32"/>
          <w:szCs w:val="32"/>
          <w:lang w:eastAsia="zh-CN"/>
        </w:rPr>
      </w:pPr>
      <w:r>
        <w:rPr>
          <w:rFonts w:hint="eastAsia"/>
          <w:color w:val="auto"/>
          <w:spacing w:val="5"/>
          <w:sz w:val="32"/>
          <w:szCs w:val="32"/>
          <w:lang w:eastAsia="zh-CN"/>
        </w:rPr>
        <w:t>（1）以申请人为第一发明人；</w:t>
      </w:r>
    </w:p>
    <w:p w14:paraId="6B022CCA">
      <w:pPr>
        <w:pStyle w:val="12"/>
        <w:spacing w:line="560" w:lineRule="exact"/>
        <w:ind w:firstLine="660" w:firstLineChars="200"/>
        <w:jc w:val="both"/>
        <w:rPr>
          <w:rFonts w:hint="eastAsia"/>
          <w:color w:val="auto"/>
          <w:spacing w:val="5"/>
          <w:sz w:val="32"/>
          <w:szCs w:val="32"/>
          <w:lang w:eastAsia="zh-CN"/>
        </w:rPr>
      </w:pPr>
      <w:r>
        <w:rPr>
          <w:rFonts w:hint="eastAsia"/>
          <w:color w:val="auto"/>
          <w:spacing w:val="5"/>
          <w:sz w:val="32"/>
          <w:szCs w:val="32"/>
          <w:lang w:eastAsia="zh-CN"/>
        </w:rPr>
        <w:t>（2）导师为第一发明人，申请人为第二发明人。</w:t>
      </w:r>
    </w:p>
    <w:p w14:paraId="4D7D245D">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3.</w:t>
      </w:r>
      <w:r>
        <w:rPr>
          <w:rFonts w:ascii="仿宋_GB2312" w:hAnsi="仿宋_GB2312" w:eastAsia="仿宋_GB2312" w:cs="仿宋_GB2312"/>
          <w:sz w:val="32"/>
          <w:szCs w:val="32"/>
          <w14:ligatures w14:val="none"/>
        </w:rPr>
        <w:t>科研创新成果加分细则</w:t>
      </w:r>
      <w:r>
        <w:rPr>
          <w:rFonts w:hint="eastAsia" w:ascii="仿宋_GB2312" w:hAnsi="仿宋_GB2312" w:eastAsia="仿宋_GB2312" w:cs="仿宋_GB2312"/>
          <w:sz w:val="32"/>
          <w:szCs w:val="32"/>
          <w14:ligatures w14:val="none"/>
        </w:rPr>
        <w:t>详见表3</w:t>
      </w:r>
      <w:r>
        <w:rPr>
          <w:rFonts w:ascii="仿宋_GB2312" w:hAnsi="仿宋_GB2312" w:eastAsia="仿宋_GB2312" w:cs="仿宋_GB2312"/>
          <w:sz w:val="32"/>
          <w:szCs w:val="32"/>
          <w14:ligatures w14:val="none"/>
        </w:rPr>
        <w:t>。学术论文</w:t>
      </w:r>
      <w:r>
        <w:rPr>
          <w:rFonts w:hint="eastAsia" w:ascii="仿宋_GB2312" w:hAnsi="仿宋_GB2312" w:eastAsia="仿宋_GB2312" w:cs="仿宋_GB2312"/>
          <w:sz w:val="32"/>
          <w:szCs w:val="32"/>
          <w14:ligatures w14:val="none"/>
        </w:rPr>
        <w:t>最高加分为2分</w:t>
      </w:r>
      <w:r>
        <w:rPr>
          <w:rFonts w:ascii="仿宋_GB2312" w:hAnsi="仿宋_GB2312" w:eastAsia="仿宋_GB2312" w:cs="仿宋_GB2312"/>
          <w:sz w:val="32"/>
          <w:szCs w:val="32"/>
          <w14:ligatures w14:val="none"/>
        </w:rPr>
        <w:t>、</w:t>
      </w:r>
      <w:r>
        <w:rPr>
          <w:rFonts w:hint="eastAsia" w:ascii="仿宋_GB2312" w:hAnsi="仿宋_GB2312" w:eastAsia="仿宋_GB2312" w:cs="仿宋_GB2312"/>
          <w:sz w:val="32"/>
          <w:szCs w:val="32"/>
          <w14:ligatures w14:val="none"/>
        </w:rPr>
        <w:t>发明</w:t>
      </w:r>
      <w:r>
        <w:rPr>
          <w:rFonts w:ascii="仿宋_GB2312" w:hAnsi="仿宋_GB2312" w:eastAsia="仿宋_GB2312" w:cs="仿宋_GB2312"/>
          <w:sz w:val="32"/>
          <w:szCs w:val="32"/>
          <w14:ligatures w14:val="none"/>
        </w:rPr>
        <w:t>专利成果</w:t>
      </w:r>
      <w:r>
        <w:rPr>
          <w:rFonts w:hint="eastAsia" w:ascii="仿宋_GB2312" w:hAnsi="仿宋_GB2312" w:eastAsia="仿宋_GB2312" w:cs="仿宋_GB2312"/>
          <w:sz w:val="32"/>
          <w:szCs w:val="32"/>
          <w14:ligatures w14:val="none"/>
        </w:rPr>
        <w:t>最高加分为1分，</w:t>
      </w:r>
      <w:r>
        <w:rPr>
          <w:rFonts w:ascii="仿宋_GB2312" w:hAnsi="仿宋_GB2312" w:eastAsia="仿宋_GB2312" w:cs="仿宋_GB2312"/>
          <w:sz w:val="32"/>
          <w:szCs w:val="32"/>
          <w14:ligatures w14:val="none"/>
        </w:rPr>
        <w:t>同时申请加分时，原则上只取最高加分项加分1次</w:t>
      </w:r>
      <w:r>
        <w:rPr>
          <w:rFonts w:hint="eastAsia" w:ascii="仿宋_GB2312" w:hAnsi="仿宋_GB2312" w:eastAsia="仿宋_GB2312" w:cs="仿宋_GB2312"/>
          <w:sz w:val="32"/>
          <w:szCs w:val="32"/>
          <w14:ligatures w14:val="none"/>
        </w:rPr>
        <w:t>，</w:t>
      </w:r>
      <w:r>
        <w:rPr>
          <w:rFonts w:ascii="仿宋_GB2312" w:hAnsi="仿宋_GB2312" w:eastAsia="仿宋_GB2312" w:cs="仿宋_GB2312"/>
          <w:sz w:val="32"/>
          <w:szCs w:val="32"/>
          <w14:ligatures w14:val="none"/>
        </w:rPr>
        <w:t>该项加分上限为2分。</w:t>
      </w:r>
    </w:p>
    <w:p w14:paraId="54E8DBAD">
      <w:pPr>
        <w:numPr>
          <w:ilvl w:val="255"/>
          <w:numId w:val="0"/>
        </w:numPr>
        <w:spacing w:after="0" w:line="560" w:lineRule="exact"/>
        <w:jc w:val="center"/>
        <w:rPr>
          <w:rFonts w:hint="eastAsia" w:ascii="仿宋_GB2312" w:eastAsia="仿宋_GB2312"/>
          <w:sz w:val="32"/>
          <w:szCs w:val="32"/>
        </w:rPr>
      </w:pPr>
      <w:bookmarkStart w:id="6" w:name="_Hlk205822479"/>
      <w:r>
        <w:rPr>
          <w:rFonts w:hint="eastAsia" w:ascii="仿宋_GB2312" w:eastAsia="仿宋_GB2312"/>
          <w:sz w:val="32"/>
          <w:szCs w:val="32"/>
        </w:rPr>
        <w:t>表3 科研创新成果加分明细表</w:t>
      </w:r>
    </w:p>
    <w:tbl>
      <w:tblPr>
        <w:tblStyle w:val="40"/>
        <w:tblW w:w="90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32"/>
        <w:gridCol w:w="2769"/>
      </w:tblGrid>
      <w:tr w14:paraId="40FE6A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6232" w:type="dxa"/>
            <w:vAlign w:val="center"/>
          </w:tcPr>
          <w:p w14:paraId="0440582A">
            <w:pPr>
              <w:spacing w:after="0" w:line="560" w:lineRule="exact"/>
              <w:ind w:firstLine="19" w:firstLineChars="8"/>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成果名称及要求</w:t>
            </w:r>
          </w:p>
        </w:tc>
        <w:tc>
          <w:tcPr>
            <w:tcW w:w="2769" w:type="dxa"/>
            <w:vAlign w:val="center"/>
          </w:tcPr>
          <w:p w14:paraId="3382EE58">
            <w:pPr>
              <w:spacing w:after="0" w:line="560" w:lineRule="exact"/>
              <w:ind w:firstLine="19" w:firstLineChars="8"/>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分数</w:t>
            </w:r>
          </w:p>
        </w:tc>
      </w:tr>
      <w:tr w14:paraId="4EA72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6232" w:type="dxa"/>
            <w:vAlign w:val="center"/>
          </w:tcPr>
          <w:p w14:paraId="7B46BEBA">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B类论文</w:t>
            </w:r>
          </w:p>
        </w:tc>
        <w:tc>
          <w:tcPr>
            <w:tcW w:w="2769" w:type="dxa"/>
            <w:vAlign w:val="center"/>
          </w:tcPr>
          <w:p w14:paraId="640FD68F">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2</w:t>
            </w:r>
          </w:p>
        </w:tc>
      </w:tr>
      <w:tr w14:paraId="20F6C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6232" w:type="dxa"/>
            <w:vAlign w:val="center"/>
          </w:tcPr>
          <w:p w14:paraId="7DD72B87">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C类论文</w:t>
            </w:r>
          </w:p>
        </w:tc>
        <w:tc>
          <w:tcPr>
            <w:tcW w:w="2769" w:type="dxa"/>
            <w:vAlign w:val="center"/>
          </w:tcPr>
          <w:p w14:paraId="42ADCF4E">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1.8</w:t>
            </w:r>
          </w:p>
        </w:tc>
      </w:tr>
      <w:tr w14:paraId="0E0451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6232" w:type="dxa"/>
            <w:vAlign w:val="center"/>
          </w:tcPr>
          <w:p w14:paraId="3650E72C">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D类论文（3区）</w:t>
            </w:r>
          </w:p>
        </w:tc>
        <w:tc>
          <w:tcPr>
            <w:tcW w:w="2769" w:type="dxa"/>
            <w:vAlign w:val="center"/>
          </w:tcPr>
          <w:p w14:paraId="58C1631E">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1.4</w:t>
            </w:r>
          </w:p>
        </w:tc>
      </w:tr>
      <w:tr w14:paraId="5B30A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6232" w:type="dxa"/>
            <w:vAlign w:val="center"/>
          </w:tcPr>
          <w:p w14:paraId="56B5F45B">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D类论文（除3区外）</w:t>
            </w:r>
          </w:p>
        </w:tc>
        <w:tc>
          <w:tcPr>
            <w:tcW w:w="2769" w:type="dxa"/>
            <w:vAlign w:val="center"/>
          </w:tcPr>
          <w:p w14:paraId="1D6C34C2">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1</w:t>
            </w:r>
          </w:p>
        </w:tc>
      </w:tr>
      <w:tr w14:paraId="2316A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6232" w:type="dxa"/>
            <w:vAlign w:val="center"/>
          </w:tcPr>
          <w:p w14:paraId="7481CC7C">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E类论文</w:t>
            </w:r>
          </w:p>
        </w:tc>
        <w:tc>
          <w:tcPr>
            <w:tcW w:w="2769" w:type="dxa"/>
            <w:vAlign w:val="center"/>
          </w:tcPr>
          <w:p w14:paraId="328E95D4">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0.5</w:t>
            </w:r>
          </w:p>
        </w:tc>
      </w:tr>
      <w:tr w14:paraId="217C2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6232" w:type="dxa"/>
          </w:tcPr>
          <w:p w14:paraId="36D17403">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与本专业相关的发明专利</w:t>
            </w:r>
          </w:p>
        </w:tc>
        <w:tc>
          <w:tcPr>
            <w:tcW w:w="2769" w:type="dxa"/>
            <w:vAlign w:val="center"/>
          </w:tcPr>
          <w:p w14:paraId="1C5C7188">
            <w:pPr>
              <w:spacing w:after="0" w:line="560" w:lineRule="exact"/>
              <w:jc w:val="center"/>
              <w:rPr>
                <w:rFonts w:hint="eastAsia" w:ascii="仿宋_GB2312" w:hAnsi="仿宋_GB2312" w:eastAsia="仿宋_GB2312" w:cs="仿宋_GB2312"/>
                <w:sz w:val="24"/>
                <w14:ligatures w14:val="none"/>
              </w:rPr>
            </w:pPr>
            <w:r>
              <w:rPr>
                <w:rFonts w:hint="eastAsia" w:ascii="仿宋_GB2312" w:hAnsi="仿宋_GB2312" w:eastAsia="仿宋_GB2312" w:cs="仿宋_GB2312"/>
                <w:sz w:val="24"/>
                <w14:ligatures w14:val="none"/>
              </w:rPr>
              <w:t>1</w:t>
            </w:r>
          </w:p>
        </w:tc>
      </w:tr>
      <w:bookmarkEnd w:id="6"/>
    </w:tbl>
    <w:p w14:paraId="338E3CDE">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ascii="仿宋_GB2312" w:hAnsi="仿宋_GB2312" w:eastAsia="仿宋_GB2312" w:cs="仿宋_GB2312"/>
          <w:sz w:val="32"/>
          <w:szCs w:val="32"/>
          <w14:ligatures w14:val="none"/>
        </w:rPr>
        <w:t>（</w:t>
      </w:r>
      <w:r>
        <w:rPr>
          <w:rFonts w:hint="eastAsia" w:ascii="仿宋_GB2312" w:hAnsi="仿宋_GB2312" w:eastAsia="仿宋_GB2312" w:cs="仿宋_GB2312"/>
          <w:sz w:val="32"/>
          <w:szCs w:val="32"/>
          <w14:ligatures w14:val="none"/>
        </w:rPr>
        <w:t>五</w:t>
      </w:r>
      <w:r>
        <w:rPr>
          <w:rFonts w:ascii="仿宋_GB2312" w:hAnsi="仿宋_GB2312" w:eastAsia="仿宋_GB2312" w:cs="仿宋_GB2312"/>
          <w:sz w:val="32"/>
          <w:szCs w:val="32"/>
          <w14:ligatures w14:val="none"/>
        </w:rPr>
        <w:t>）个人国家级、省级综合类荣誉称号</w:t>
      </w:r>
      <w:r>
        <w:rPr>
          <w:rFonts w:hint="eastAsia" w:ascii="仿宋_GB2312" w:hAnsi="仿宋_GB2312" w:eastAsia="仿宋_GB2312" w:cs="仿宋_GB2312"/>
          <w:sz w:val="32"/>
          <w:szCs w:val="32"/>
          <w14:ligatures w14:val="none"/>
        </w:rPr>
        <w:t>加分标准</w:t>
      </w:r>
    </w:p>
    <w:p w14:paraId="72C1E1DE">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荣获个人综合类国家级荣誉称号加</w:t>
      </w:r>
      <w:r>
        <w:rPr>
          <w:rFonts w:ascii="仿宋_GB2312" w:hAnsi="仿宋_GB2312" w:eastAsia="仿宋_GB2312" w:cs="仿宋_GB2312"/>
          <w:sz w:val="32"/>
          <w:szCs w:val="32"/>
          <w14:ligatures w14:val="none"/>
        </w:rPr>
        <w:t>0.5</w:t>
      </w:r>
      <w:r>
        <w:rPr>
          <w:rFonts w:hint="eastAsia" w:ascii="仿宋_GB2312" w:hAnsi="仿宋_GB2312" w:eastAsia="仿宋_GB2312" w:cs="仿宋_GB2312"/>
          <w:sz w:val="32"/>
          <w:szCs w:val="32"/>
          <w14:ligatures w14:val="none"/>
        </w:rPr>
        <w:t>分，省级综合类荣誉称号加</w:t>
      </w:r>
      <w:r>
        <w:rPr>
          <w:rFonts w:ascii="仿宋_GB2312" w:hAnsi="仿宋_GB2312" w:eastAsia="仿宋_GB2312" w:cs="仿宋_GB2312"/>
          <w:sz w:val="32"/>
          <w:szCs w:val="32"/>
          <w14:ligatures w14:val="none"/>
        </w:rPr>
        <w:t>0.2</w:t>
      </w:r>
      <w:r>
        <w:rPr>
          <w:rFonts w:hint="eastAsia" w:ascii="仿宋_GB2312" w:hAnsi="仿宋_GB2312" w:eastAsia="仿宋_GB2312" w:cs="仿宋_GB2312"/>
          <w:sz w:val="32"/>
          <w:szCs w:val="32"/>
          <w14:ligatures w14:val="none"/>
        </w:rPr>
        <w:t>分。荣誉限于教育部、团中央、教育厅、团省委颁发的三好学生、优秀学生干部、青年五四奖章（个人、团体获奖计第一负责人）荣誉称号。本科生在学期间获得的所有此类荣誉只取最高级别</w:t>
      </w:r>
      <w:r>
        <w:rPr>
          <w:rFonts w:ascii="仿宋_GB2312" w:hAnsi="仿宋_GB2312" w:eastAsia="仿宋_GB2312" w:cs="仿宋_GB2312"/>
          <w:sz w:val="32"/>
          <w:szCs w:val="32"/>
          <w14:ligatures w14:val="none"/>
        </w:rPr>
        <w:t>1</w:t>
      </w:r>
      <w:r>
        <w:rPr>
          <w:rFonts w:hint="eastAsia" w:ascii="仿宋_GB2312" w:hAnsi="仿宋_GB2312" w:eastAsia="仿宋_GB2312" w:cs="仿宋_GB2312"/>
          <w:sz w:val="32"/>
          <w:szCs w:val="32"/>
          <w14:ligatures w14:val="none"/>
        </w:rPr>
        <w:t>项，该项加分上限为</w:t>
      </w:r>
      <w:r>
        <w:rPr>
          <w:rFonts w:ascii="仿宋_GB2312" w:hAnsi="仿宋_GB2312" w:eastAsia="仿宋_GB2312" w:cs="仿宋_GB2312"/>
          <w:sz w:val="32"/>
          <w:szCs w:val="32"/>
          <w14:ligatures w14:val="none"/>
        </w:rPr>
        <w:t>0.5</w:t>
      </w:r>
      <w:r>
        <w:rPr>
          <w:rFonts w:hint="eastAsia" w:ascii="仿宋_GB2312" w:hAnsi="仿宋_GB2312" w:eastAsia="仿宋_GB2312" w:cs="仿宋_GB2312"/>
          <w:sz w:val="32"/>
          <w:szCs w:val="32"/>
          <w14:ligatures w14:val="none"/>
        </w:rPr>
        <w:t>分。</w:t>
      </w:r>
    </w:p>
    <w:p w14:paraId="38EA5098">
      <w:pPr>
        <w:pStyle w:val="12"/>
        <w:spacing w:line="560" w:lineRule="exact"/>
        <w:ind w:firstLine="640" w:firstLineChars="200"/>
        <w:jc w:val="both"/>
        <w:rPr>
          <w:rFonts w:hint="eastAsia"/>
          <w:color w:val="auto"/>
          <w:spacing w:val="8"/>
          <w:sz w:val="32"/>
          <w:szCs w:val="32"/>
          <w:lang w:eastAsia="zh-CN"/>
        </w:rPr>
      </w:pPr>
      <w:r>
        <w:rPr>
          <w:rFonts w:hint="eastAsia"/>
          <w:color w:val="auto"/>
          <w:sz w:val="32"/>
          <w:szCs w:val="32"/>
          <w:lang w:eastAsia="zh-CN"/>
        </w:rPr>
        <w:t>（</w:t>
      </w:r>
      <w:r>
        <w:rPr>
          <w:rFonts w:hint="eastAsia"/>
          <w:color w:val="auto"/>
          <w:sz w:val="32"/>
          <w:szCs w:val="32"/>
          <w:lang w:val="en-US" w:eastAsia="zh-CN"/>
        </w:rPr>
        <w:t>六</w:t>
      </w:r>
      <w:r>
        <w:rPr>
          <w:rFonts w:hint="eastAsia"/>
          <w:color w:val="auto"/>
          <w:sz w:val="32"/>
          <w:szCs w:val="32"/>
          <w:lang w:eastAsia="zh-CN"/>
        </w:rPr>
        <w:t>）</w:t>
      </w:r>
      <w:r>
        <w:rPr>
          <w:rFonts w:hint="eastAsia"/>
          <w:color w:val="auto"/>
          <w:spacing w:val="4"/>
          <w:sz w:val="32"/>
          <w:szCs w:val="32"/>
          <w:lang w:eastAsia="zh-CN"/>
        </w:rPr>
        <w:t>所有参与加分的经历、竞赛获奖、科研创新成果以及荣誉</w:t>
      </w:r>
      <w:r>
        <w:rPr>
          <w:rFonts w:hint="eastAsia"/>
          <w:color w:val="auto"/>
          <w:spacing w:val="8"/>
          <w:sz w:val="32"/>
          <w:szCs w:val="32"/>
          <w:lang w:eastAsia="zh-CN"/>
        </w:rPr>
        <w:t>称号等取得的截止时间以当年推免工作的相关通知为准。</w:t>
      </w:r>
    </w:p>
    <w:p w14:paraId="1022B45C">
      <w:pPr>
        <w:pStyle w:val="12"/>
        <w:spacing w:line="560" w:lineRule="exact"/>
        <w:ind w:firstLine="656" w:firstLineChars="200"/>
        <w:jc w:val="both"/>
        <w:rPr>
          <w:rFonts w:hint="eastAsia"/>
          <w:color w:val="auto"/>
          <w:spacing w:val="8"/>
          <w:sz w:val="32"/>
          <w:szCs w:val="32"/>
          <w:lang w:eastAsia="zh-CN"/>
        </w:rPr>
      </w:pPr>
      <w:r>
        <w:rPr>
          <w:rFonts w:hint="eastAsia"/>
          <w:color w:val="auto"/>
          <w:spacing w:val="4"/>
          <w:sz w:val="32"/>
          <w:szCs w:val="32"/>
          <w:lang w:eastAsia="zh-CN"/>
        </w:rPr>
        <w:t>（</w:t>
      </w:r>
      <w:r>
        <w:rPr>
          <w:rFonts w:hint="eastAsia"/>
          <w:color w:val="auto"/>
          <w:spacing w:val="4"/>
          <w:sz w:val="32"/>
          <w:szCs w:val="32"/>
          <w:lang w:val="en-US" w:eastAsia="zh-CN"/>
        </w:rPr>
        <w:t>七</w:t>
      </w:r>
      <w:r>
        <w:rPr>
          <w:rFonts w:hint="eastAsia"/>
          <w:color w:val="auto"/>
          <w:spacing w:val="4"/>
          <w:sz w:val="32"/>
          <w:szCs w:val="32"/>
          <w:lang w:eastAsia="zh-CN"/>
        </w:rPr>
        <w:t>）</w:t>
      </w:r>
      <w:r>
        <w:rPr>
          <w:rFonts w:hint="eastAsia"/>
          <w:color w:val="auto"/>
          <w:spacing w:val="5"/>
          <w:sz w:val="32"/>
          <w:szCs w:val="32"/>
          <w:lang w:eastAsia="zh-CN"/>
        </w:rPr>
        <w:t>申请人与直系亲属或学历、职称、职务明显高于本人者（可出具相关证明的本校学业导师、科研团队导师、竞赛指导教师等本科人才培养指导体系内的人员除外）合作的竞赛获奖、科研创新成果等仅作为参考，不纳入本人综合评价加分体系。</w:t>
      </w:r>
    </w:p>
    <w:p w14:paraId="1E6DD86F">
      <w:pPr>
        <w:pStyle w:val="12"/>
        <w:spacing w:line="560" w:lineRule="exact"/>
        <w:ind w:firstLine="656" w:firstLineChars="200"/>
        <w:jc w:val="both"/>
        <w:rPr>
          <w:rFonts w:hint="eastAsia"/>
          <w:color w:val="auto"/>
          <w:spacing w:val="4"/>
          <w:sz w:val="32"/>
          <w:szCs w:val="32"/>
          <w:lang w:eastAsia="zh-CN"/>
        </w:rPr>
      </w:pPr>
      <w:r>
        <w:rPr>
          <w:rFonts w:hint="eastAsia"/>
          <w:color w:val="auto"/>
          <w:spacing w:val="4"/>
          <w:sz w:val="32"/>
          <w:szCs w:val="32"/>
          <w:lang w:eastAsia="zh-CN"/>
        </w:rPr>
        <w:t>（</w:t>
      </w:r>
      <w:r>
        <w:rPr>
          <w:rFonts w:hint="eastAsia"/>
          <w:color w:val="auto"/>
          <w:spacing w:val="4"/>
          <w:sz w:val="32"/>
          <w:szCs w:val="32"/>
          <w:lang w:val="en-US" w:eastAsia="zh-CN"/>
        </w:rPr>
        <w:t>八</w:t>
      </w:r>
      <w:r>
        <w:rPr>
          <w:rFonts w:hint="eastAsia"/>
          <w:color w:val="auto"/>
          <w:spacing w:val="4"/>
          <w:sz w:val="32"/>
          <w:szCs w:val="32"/>
          <w:lang w:eastAsia="zh-CN"/>
        </w:rPr>
        <w:t>）各项加分佐证材料审核时需提供原件和复印件，录稿通知、获奖公示、尚未检索等情况不得计算加分，发生异议时，参军入伍服兵役部分由学校武装部负责解释；参加志愿服务或到国际组织实习部分由校团委负责解释；大学生竞赛获奖部分由教务处负责解释；获得科研创新成果部分由科学与技术发展研究院负责解释；获得个人国家级或省级综合类荣誉称号部分由学生工作部（处）和团委负责解释；其他附加成绩部分由教务处负责解释。</w:t>
      </w:r>
    </w:p>
    <w:p w14:paraId="43D2F641">
      <w:pPr>
        <w:spacing w:after="0" w:line="560" w:lineRule="exact"/>
        <w:ind w:firstLine="643" w:firstLineChars="200"/>
        <w:jc w:val="both"/>
        <w:outlineLvl w:val="1"/>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八、推免工作回避制度</w:t>
      </w:r>
    </w:p>
    <w:p w14:paraId="75A931D0">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（一）回避情形</w:t>
      </w:r>
    </w:p>
    <w:p w14:paraId="76E8E92D">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若相关人员与考生存在下述亲属关系，不得参与该考生的推免评审、考核、推荐等环节的工作。</w:t>
      </w:r>
    </w:p>
    <w:p w14:paraId="604663D9">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1.夫妻关系；</w:t>
      </w:r>
    </w:p>
    <w:p w14:paraId="07716975">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2.直系血亲关系，包括父母、子女、祖父母、外祖父母、孙子女、外孙子女等；</w:t>
      </w:r>
    </w:p>
    <w:p w14:paraId="24E75704">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3.三代以内旁系血亲关系，包括兄弟姐妹、堂兄弟姐妹、表兄弟姐妹、叔伯姑舅姨、侄子女、甥子女等；</w:t>
      </w:r>
    </w:p>
    <w:p w14:paraId="5A02000E">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4.近姻亲关系，包括配偶的父母、配偶的兄弟姐妹及其配偶、子女的配偶及子女配偶的父母、三代以内旁系血亲的配偶等。</w:t>
      </w:r>
    </w:p>
    <w:p w14:paraId="19C8FD7E">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若相关工作人员与考生存在下列利害关系之一的，应主动申请回避，不得参与涉及该考生的推免相关工作。</w:t>
      </w:r>
    </w:p>
    <w:p w14:paraId="4EB18D89">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1.本人或其亲属与考生有经济利益关系，如存在债权债务关系、共同投资经营等情况；</w:t>
      </w:r>
    </w:p>
    <w:p w14:paraId="0C8F948B">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2.本人或其亲属与考生有过纠纷、矛盾，可能影响推免工作公正进行的；</w:t>
      </w:r>
    </w:p>
    <w:p w14:paraId="7B424ED1">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3.其他可能影响推免工作公平公正的利害关系。</w:t>
      </w:r>
    </w:p>
    <w:p w14:paraId="39D69C37">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（二）回避程序</w:t>
      </w:r>
    </w:p>
    <w:p w14:paraId="7933C038">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1.</w:t>
      </w:r>
      <w:r>
        <w:rPr>
          <w:rFonts w:ascii="仿宋_GB2312" w:hAnsi="仿宋_GB2312" w:eastAsia="仿宋_GB2312" w:cs="仿宋_GB2312"/>
          <w:sz w:val="32"/>
          <w:szCs w:val="32"/>
          <w14:ligatures w14:val="none"/>
        </w:rPr>
        <w:t>相关人员发现自己存在需要回避的情形时，应当主动向学院推免工作领导小组提出回避申请，并说明理由。考生或其监护人发现相关人员存在需要回避的情形时，有权向学院推免工作小组提出回避申请，并提供相关证据。</w:t>
      </w:r>
    </w:p>
    <w:p w14:paraId="5162272B">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2.</w:t>
      </w:r>
      <w:r>
        <w:rPr>
          <w:rFonts w:ascii="仿宋_GB2312" w:hAnsi="仿宋_GB2312" w:eastAsia="仿宋_GB2312" w:cs="仿宋_GB2312"/>
          <w:sz w:val="32"/>
          <w:szCs w:val="32"/>
          <w14:ligatures w14:val="none"/>
        </w:rPr>
        <w:t>学院推免工作小组收到回避申请后，应当在3个工作日内进行审查，并作出是否回避的决定。作出回避决定的，应当及时通知申请人和被申请回避的人员；作出不予回避决定的，应当向申请人说明理由。</w:t>
      </w:r>
    </w:p>
    <w:p w14:paraId="3D857C28">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3.</w:t>
      </w:r>
      <w:r>
        <w:rPr>
          <w:rFonts w:ascii="仿宋_GB2312" w:hAnsi="仿宋_GB2312" w:eastAsia="仿宋_GB2312" w:cs="仿宋_GB2312"/>
          <w:sz w:val="32"/>
          <w:szCs w:val="32"/>
          <w14:ligatures w14:val="none"/>
        </w:rPr>
        <w:t>被决定回避的人员，应当立即停止参与推免相关工作。其已参与的工作，由学院推免工作小组根据具体情况决定是否有效，并安排其他符合条件的人员接替其工作。</w:t>
      </w:r>
    </w:p>
    <w:p w14:paraId="44F8D4B6">
      <w:pPr>
        <w:spacing w:after="0" w:line="560" w:lineRule="exact"/>
        <w:ind w:firstLine="643" w:firstLineChars="200"/>
        <w:jc w:val="both"/>
        <w:outlineLvl w:val="1"/>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九、复议</w:t>
      </w:r>
    </w:p>
    <w:p w14:paraId="19051D37">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（一）已参加本学院推免遴选，但对推免成绩及最后结果持有异议的学生，可在学院拟推免名单公示期间提请学院推免工作小组复议。</w:t>
      </w:r>
    </w:p>
    <w:p w14:paraId="743E8B50">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（二）申请和复议程序：</w:t>
      </w:r>
    </w:p>
    <w:p w14:paraId="1E736F14">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1.申请人填写《河北科技大学推荐免试研究生复议申请审核表》（以下简称</w:t>
      </w:r>
      <w:r>
        <w:rPr>
          <w:rFonts w:hint="eastAsia" w:ascii="仿宋_GB2312" w:hAnsi="仿宋" w:eastAsia="仿宋_GB2312"/>
          <w:sz w:val="32"/>
          <w:szCs w:val="32"/>
        </w:rPr>
        <w:t>《复议申请表》</w:t>
      </w:r>
      <w:r>
        <w:rPr>
          <w:rFonts w:hint="eastAsia" w:ascii="仿宋_GB2312" w:hAnsi="仿宋_GB2312" w:eastAsia="仿宋_GB2312" w:cs="仿宋_GB2312"/>
          <w:sz w:val="32"/>
          <w:szCs w:val="32"/>
          <w14:ligatures w14:val="none"/>
        </w:rPr>
        <w:t xml:space="preserve">）（一式三份），并在规定日期内上交到学院，逾期不予受理。 </w:t>
      </w:r>
    </w:p>
    <w:p w14:paraId="4D792536">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2.学院推免工作小组按照学校</w:t>
      </w:r>
      <w:r>
        <w:rPr>
          <w:rFonts w:hint="eastAsia" w:ascii="仿宋_GB2312" w:hAnsi="仿宋" w:eastAsia="仿宋_GB2312"/>
          <w:sz w:val="32"/>
          <w:szCs w:val="32"/>
        </w:rPr>
        <w:t>《推免实施办法》</w:t>
      </w:r>
      <w:r>
        <w:rPr>
          <w:rFonts w:hint="eastAsia" w:ascii="仿宋_GB2312" w:hAnsi="仿宋_GB2312" w:eastAsia="仿宋_GB2312" w:cs="仿宋_GB2312"/>
          <w:sz w:val="32"/>
          <w:szCs w:val="32"/>
          <w14:ligatures w14:val="none"/>
        </w:rPr>
        <w:t xml:space="preserve">和学院《推免细则》的规定，审核申请人所反映的情况是否属实，必要时可重新对申请人进行评价，复议过程要详细记录在复议表中。 </w:t>
      </w:r>
    </w:p>
    <w:p w14:paraId="3B956561">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 xml:space="preserve">3.经复议，学院推免工作小组做出复议结论，填写在复议表的“复议结论”一栏中，组长签字、学院盖章方有效。复议结果应在学院将拟推免名单报学校推免工作领导小组之前告知申请人。 </w:t>
      </w:r>
    </w:p>
    <w:p w14:paraId="6D5F0F21">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4.学院将复议表汇总后，连同拟推免名单在规定时间内报学校推免生工作领导小组。</w:t>
      </w:r>
    </w:p>
    <w:p w14:paraId="72D45D78">
      <w:pPr>
        <w:spacing w:after="0" w:line="560" w:lineRule="exact"/>
        <w:ind w:firstLine="643" w:firstLineChars="200"/>
        <w:jc w:val="both"/>
        <w:outlineLvl w:val="1"/>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十、管理与监督</w:t>
      </w:r>
    </w:p>
    <w:p w14:paraId="5812C7CB">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学院认真执行国家推免生工作有关政策规定和学校推免生工作规定，严格掌握推荐原则、条件和程序，切实保证推免生质量，维护推免生工作的权威性和严肃性。若在推免生工作中出现违规行为，情节严重者，将追究相关人员责任。</w:t>
      </w:r>
    </w:p>
    <w:p w14:paraId="638792AE">
      <w:pPr>
        <w:spacing w:after="0" w:line="560" w:lineRule="exact"/>
        <w:ind w:firstLine="643" w:firstLineChars="200"/>
        <w:jc w:val="both"/>
        <w:outlineLvl w:val="1"/>
        <w:rPr>
          <w:rFonts w:hint="eastAsia" w:ascii="黑体" w:hAnsi="黑体" w:eastAsia="黑体" w:cs="黑体"/>
          <w:b/>
          <w:bCs/>
          <w:sz w:val="32"/>
          <w:szCs w:val="32"/>
          <w14:ligatures w14:val="none"/>
        </w:rPr>
      </w:pPr>
      <w:r>
        <w:rPr>
          <w:rFonts w:hint="eastAsia" w:ascii="黑体" w:hAnsi="黑体" w:eastAsia="黑体" w:cs="黑体"/>
          <w:b/>
          <w:bCs/>
          <w:sz w:val="32"/>
          <w:szCs w:val="32"/>
          <w14:ligatures w14:val="none"/>
        </w:rPr>
        <w:t>十一、附则</w:t>
      </w:r>
    </w:p>
    <w:p w14:paraId="6313188B">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（一）学校相关文件发生调整的，以学校相关文件为准。</w:t>
      </w:r>
    </w:p>
    <w:p w14:paraId="6EA16595">
      <w:pPr>
        <w:spacing w:after="0" w:line="560" w:lineRule="exact"/>
        <w:ind w:firstLine="640" w:firstLineChars="200"/>
        <w:jc w:val="both"/>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（二）本细则自发布之日起开始实施，由河北科技大学纺织服装学院推免工作小组负责解释。</w:t>
      </w:r>
    </w:p>
    <w:p w14:paraId="0CA40487">
      <w:pPr>
        <w:adjustRightInd w:val="0"/>
        <w:snapToGrid w:val="0"/>
        <w:spacing w:after="0" w:line="240" w:lineRule="exact"/>
        <w:jc w:val="both"/>
        <w:rPr>
          <w:rFonts w:hint="eastAsia" w:ascii="仿宋_GB2312" w:hAnsi="宋体" w:eastAsia="仿宋_GB2312" w:cs="仿宋_GB2312"/>
          <w:sz w:val="21"/>
          <w:szCs w:val="21"/>
          <w14:ligatures w14:val="none"/>
        </w:rPr>
        <w:sectPr>
          <w:footerReference r:id="rId5" w:type="default"/>
          <w:pgSz w:w="11906" w:h="16838"/>
          <w:pgMar w:top="1701" w:right="1417" w:bottom="1417" w:left="1701" w:header="851" w:footer="992" w:gutter="0"/>
          <w:cols w:space="0" w:num="1"/>
          <w:docGrid w:type="lines" w:linePitch="319" w:charSpace="0"/>
        </w:sectPr>
      </w:pPr>
    </w:p>
    <w:p w14:paraId="32BB9977">
      <w:pPr>
        <w:jc w:val="both"/>
        <w:outlineLvl w:val="1"/>
        <w:rPr>
          <w:rFonts w:hint="eastAsia" w:ascii="方正小标宋简体" w:hAnsi="等线" w:eastAsia="方正小标宋简体" w:cs="Times New Roman"/>
          <w:sz w:val="36"/>
          <w:szCs w:val="36"/>
        </w:rPr>
      </w:pPr>
      <w:r>
        <w:rPr>
          <w:rFonts w:hint="eastAsia" w:ascii="方正小标宋简体" w:hAnsi="等线" w:eastAsia="方正小标宋简体" w:cs="Times New Roman"/>
          <w:sz w:val="36"/>
          <w:szCs w:val="36"/>
        </w:rPr>
        <w:t>附件1：</w:t>
      </w:r>
    </w:p>
    <w:p w14:paraId="61FB37C8">
      <w:pPr>
        <w:spacing w:line="276" w:lineRule="auto"/>
        <w:jc w:val="both"/>
        <w:rPr>
          <w:rFonts w:hint="eastAsia" w:ascii="方正小标宋简体" w:hAnsi="等线" w:eastAsia="方正小标宋简体" w:cs="Times New Roman"/>
          <w:sz w:val="36"/>
          <w:szCs w:val="36"/>
        </w:rPr>
      </w:pPr>
      <w:r>
        <w:rPr>
          <w:rFonts w:hint="eastAsia" w:ascii="方正小标宋简体" w:hAnsi="等线" w:eastAsia="方正小标宋简体" w:cs="Times New Roman"/>
          <w:sz w:val="36"/>
          <w:szCs w:val="36"/>
        </w:rPr>
        <w:t>河北科技大学纺织服装学院本科生学科竞赛（一类竞赛）指导目录（2025年）</w:t>
      </w:r>
    </w:p>
    <w:tbl>
      <w:tblPr>
        <w:tblStyle w:val="17"/>
        <w:tblW w:w="149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5516"/>
        <w:gridCol w:w="8670"/>
      </w:tblGrid>
      <w:tr w14:paraId="43B07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21" w:type="dxa"/>
            <w:gridSpan w:val="3"/>
            <w:tcBorders>
              <w:top w:val="single" w:color="auto" w:sz="4" w:space="0"/>
              <w:left w:val="single" w:color="auto" w:sz="4" w:space="0"/>
              <w:bottom w:val="single" w:color="auto" w:sz="4" w:space="0"/>
              <w:right w:val="single" w:color="auto" w:sz="4" w:space="0"/>
            </w:tcBorders>
            <w:vAlign w:val="center"/>
          </w:tcPr>
          <w:p w14:paraId="7D97CD6B">
            <w:pPr>
              <w:widowControl/>
              <w:spacing w:line="276" w:lineRule="auto"/>
              <w:jc w:val="center"/>
              <w:textAlignment w:val="center"/>
              <w:rPr>
                <w:rFonts w:ascii="Times New Roman" w:hAnsi="Times New Roman" w:eastAsia="微软雅黑" w:cs="Times New Roman"/>
                <w:sz w:val="32"/>
                <w:szCs w:val="32"/>
              </w:rPr>
            </w:pPr>
            <w:r>
              <w:rPr>
                <w:rFonts w:hint="eastAsia" w:ascii="黑体" w:hAnsi="等线" w:eastAsia="黑体" w:cs="黑体"/>
                <w:kern w:val="0"/>
                <w:sz w:val="28"/>
                <w:szCs w:val="28"/>
              </w:rPr>
              <w:t>一类竞赛（A级）：1个竞赛</w:t>
            </w:r>
          </w:p>
        </w:tc>
      </w:tr>
      <w:tr w14:paraId="44068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63363EC5">
            <w:pPr>
              <w:widowControl/>
              <w:spacing w:line="360" w:lineRule="exact"/>
              <w:jc w:val="center"/>
              <w:textAlignment w:val="center"/>
              <w:rPr>
                <w:rFonts w:hint="eastAsia" w:ascii="仿宋_GB2312" w:hAnsi="等线" w:eastAsia="仿宋_GB2312" w:cs="仿宋_GB2312"/>
                <w:b/>
                <w:bCs/>
                <w:sz w:val="24"/>
              </w:rPr>
            </w:pPr>
            <w:r>
              <w:rPr>
                <w:rFonts w:hint="eastAsia" w:ascii="仿宋_GB2312" w:hAnsi="等线" w:eastAsia="仿宋_GB2312" w:cs="仿宋_GB2312"/>
                <w:b/>
                <w:bCs/>
                <w:kern w:val="0"/>
                <w:sz w:val="24"/>
              </w:rPr>
              <w:t>序号</w:t>
            </w:r>
          </w:p>
        </w:tc>
        <w:tc>
          <w:tcPr>
            <w:tcW w:w="5516" w:type="dxa"/>
            <w:tcBorders>
              <w:top w:val="single" w:color="auto" w:sz="4" w:space="0"/>
              <w:left w:val="single" w:color="auto" w:sz="4" w:space="0"/>
              <w:bottom w:val="single" w:color="auto" w:sz="4" w:space="0"/>
              <w:right w:val="single" w:color="auto" w:sz="4" w:space="0"/>
            </w:tcBorders>
            <w:vAlign w:val="center"/>
          </w:tcPr>
          <w:p w14:paraId="331306C0">
            <w:pPr>
              <w:widowControl/>
              <w:spacing w:line="360" w:lineRule="exact"/>
              <w:jc w:val="center"/>
              <w:textAlignment w:val="center"/>
              <w:rPr>
                <w:rFonts w:hint="eastAsia" w:ascii="仿宋_GB2312" w:hAnsi="等线" w:eastAsia="仿宋_GB2312" w:cs="仿宋_GB2312"/>
                <w:b/>
                <w:bCs/>
                <w:sz w:val="24"/>
              </w:rPr>
            </w:pPr>
            <w:r>
              <w:rPr>
                <w:rFonts w:hint="eastAsia" w:ascii="仿宋_GB2312" w:hAnsi="等线" w:eastAsia="仿宋_GB2312" w:cs="仿宋_GB2312"/>
                <w:b/>
                <w:bCs/>
                <w:kern w:val="0"/>
                <w:sz w:val="24"/>
              </w:rPr>
              <w:t>竞赛名称</w:t>
            </w:r>
          </w:p>
        </w:tc>
        <w:tc>
          <w:tcPr>
            <w:tcW w:w="8670" w:type="dxa"/>
            <w:tcBorders>
              <w:top w:val="single" w:color="auto" w:sz="4" w:space="0"/>
              <w:left w:val="single" w:color="auto" w:sz="4" w:space="0"/>
              <w:bottom w:val="single" w:color="auto" w:sz="4" w:space="0"/>
              <w:right w:val="single" w:color="auto" w:sz="4" w:space="0"/>
            </w:tcBorders>
            <w:vAlign w:val="center"/>
          </w:tcPr>
          <w:p w14:paraId="7BF6BEE6">
            <w:pPr>
              <w:widowControl/>
              <w:spacing w:line="360" w:lineRule="exact"/>
              <w:jc w:val="center"/>
              <w:textAlignment w:val="center"/>
              <w:rPr>
                <w:rFonts w:hint="eastAsia" w:ascii="仿宋_GB2312" w:hAnsi="等线" w:eastAsia="仿宋_GB2312" w:cs="仿宋_GB2312"/>
                <w:b/>
                <w:bCs/>
                <w:sz w:val="24"/>
              </w:rPr>
            </w:pPr>
            <w:r>
              <w:rPr>
                <w:rFonts w:hint="eastAsia" w:ascii="仿宋_GB2312" w:hAnsi="等线" w:eastAsia="仿宋_GB2312" w:cs="仿宋_GB2312"/>
                <w:b/>
                <w:bCs/>
                <w:kern w:val="0"/>
                <w:sz w:val="24"/>
              </w:rPr>
              <w:t>主办方</w:t>
            </w:r>
          </w:p>
        </w:tc>
      </w:tr>
      <w:tr w14:paraId="0BC29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246103">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1</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AA8F8D">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中国国际大学生创新大赛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51D770">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教育部、中央统战部、中央网信办、国家发展改革委、工业和信息化部、人力资源社会保障部等</w:t>
            </w:r>
          </w:p>
        </w:tc>
      </w:tr>
      <w:tr w14:paraId="41ECC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21"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C95C75">
            <w:pPr>
              <w:widowControl/>
              <w:spacing w:line="360" w:lineRule="exact"/>
              <w:jc w:val="center"/>
              <w:textAlignment w:val="center"/>
              <w:rPr>
                <w:rFonts w:hint="eastAsia" w:ascii="仿宋_GB2312" w:hAnsi="等线" w:eastAsia="仿宋_GB2312" w:cs="仿宋_GB2312"/>
                <w:sz w:val="24"/>
              </w:rPr>
            </w:pPr>
            <w:r>
              <w:rPr>
                <w:rFonts w:hint="eastAsia" w:ascii="黑体" w:hAnsi="等线" w:eastAsia="黑体" w:cs="黑体"/>
                <w:kern w:val="0"/>
                <w:sz w:val="28"/>
                <w:szCs w:val="28"/>
              </w:rPr>
              <w:t>一类竞赛（B级）：2个竞赛</w:t>
            </w:r>
          </w:p>
        </w:tc>
      </w:tr>
      <w:tr w14:paraId="19A1A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420853">
            <w:pPr>
              <w:widowControl/>
              <w:spacing w:line="360" w:lineRule="exact"/>
              <w:jc w:val="center"/>
              <w:textAlignment w:val="center"/>
              <w:rPr>
                <w:rFonts w:hint="eastAsia" w:ascii="仿宋_GB2312" w:hAnsi="等线" w:eastAsia="仿宋_GB2312" w:cs="仿宋_GB2312"/>
                <w:b/>
                <w:bCs/>
                <w:sz w:val="24"/>
              </w:rPr>
            </w:pPr>
            <w:r>
              <w:rPr>
                <w:rFonts w:hint="eastAsia" w:ascii="仿宋_GB2312" w:hAnsi="等线" w:eastAsia="仿宋_GB2312" w:cs="仿宋_GB2312"/>
                <w:b/>
                <w:bCs/>
                <w:kern w:val="0"/>
                <w:sz w:val="24"/>
              </w:rPr>
              <w:t>序号</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462C13">
            <w:pPr>
              <w:widowControl/>
              <w:spacing w:line="360" w:lineRule="exact"/>
              <w:jc w:val="center"/>
              <w:textAlignment w:val="center"/>
              <w:rPr>
                <w:rFonts w:hint="eastAsia" w:ascii="仿宋_GB2312" w:hAnsi="等线" w:eastAsia="仿宋_GB2312" w:cs="仿宋_GB2312"/>
                <w:b/>
                <w:bCs/>
                <w:sz w:val="24"/>
              </w:rPr>
            </w:pPr>
            <w:r>
              <w:rPr>
                <w:rFonts w:hint="eastAsia" w:ascii="仿宋_GB2312" w:hAnsi="等线" w:eastAsia="仿宋_GB2312" w:cs="仿宋_GB2312"/>
                <w:b/>
                <w:bCs/>
                <w:kern w:val="0"/>
                <w:sz w:val="24"/>
              </w:rPr>
              <w:t>竞赛名称</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15992A">
            <w:pPr>
              <w:widowControl/>
              <w:spacing w:line="360" w:lineRule="exact"/>
              <w:jc w:val="center"/>
              <w:textAlignment w:val="center"/>
              <w:rPr>
                <w:rFonts w:hint="eastAsia" w:ascii="仿宋_GB2312" w:hAnsi="等线" w:eastAsia="仿宋_GB2312" w:cs="仿宋_GB2312"/>
                <w:b/>
                <w:bCs/>
                <w:sz w:val="24"/>
              </w:rPr>
            </w:pPr>
            <w:r>
              <w:rPr>
                <w:rFonts w:hint="eastAsia" w:ascii="仿宋_GB2312" w:hAnsi="等线" w:eastAsia="仿宋_GB2312" w:cs="仿宋_GB2312"/>
                <w:b/>
                <w:bCs/>
                <w:kern w:val="0"/>
                <w:sz w:val="24"/>
              </w:rPr>
              <w:t>主办方</w:t>
            </w:r>
          </w:p>
        </w:tc>
      </w:tr>
      <w:tr w14:paraId="4FDA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67E58A">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1</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DDDAEA">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“挑战杯”全国大学生课外学术科技作品竞赛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241F8B">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共青团中央、中国科协、教育部、中国社会科学院、全国学联</w:t>
            </w:r>
          </w:p>
        </w:tc>
      </w:tr>
      <w:tr w14:paraId="21D96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494C52">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2</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019B23">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“挑战杯” 中国大学生创业计划大赛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A97425">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共青团中央、教育部、人社部、中国科协、全国学联</w:t>
            </w:r>
          </w:p>
        </w:tc>
      </w:tr>
      <w:tr w14:paraId="1081D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21" w:type="dxa"/>
            <w:gridSpan w:val="3"/>
            <w:tcBorders>
              <w:top w:val="single" w:color="auto" w:sz="4" w:space="0"/>
              <w:left w:val="single" w:color="auto" w:sz="4" w:space="0"/>
              <w:bottom w:val="single" w:color="auto" w:sz="4" w:space="0"/>
              <w:right w:val="single" w:color="auto" w:sz="4" w:space="0"/>
            </w:tcBorders>
            <w:vAlign w:val="center"/>
          </w:tcPr>
          <w:p w14:paraId="2D722F00">
            <w:pPr>
              <w:widowControl/>
              <w:spacing w:line="360" w:lineRule="exact"/>
              <w:jc w:val="center"/>
              <w:textAlignment w:val="center"/>
              <w:rPr>
                <w:rFonts w:hint="eastAsia" w:ascii="仿宋_GB2312" w:hAnsi="等线" w:eastAsia="仿宋_GB2312" w:cs="仿宋_GB2312"/>
                <w:sz w:val="24"/>
              </w:rPr>
            </w:pPr>
            <w:r>
              <w:rPr>
                <w:rFonts w:hint="eastAsia" w:ascii="黑体" w:hAnsi="等线" w:eastAsia="黑体" w:cs="黑体"/>
                <w:kern w:val="0"/>
                <w:sz w:val="28"/>
                <w:szCs w:val="28"/>
              </w:rPr>
              <w:t>一类竞赛（C级）：15个竞赛</w:t>
            </w:r>
          </w:p>
        </w:tc>
      </w:tr>
      <w:tr w14:paraId="4813F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5F99519E">
            <w:pPr>
              <w:widowControl/>
              <w:spacing w:line="360" w:lineRule="exact"/>
              <w:jc w:val="center"/>
              <w:textAlignment w:val="center"/>
              <w:rPr>
                <w:rFonts w:hint="eastAsia" w:ascii="仿宋_GB2312" w:hAnsi="等线" w:eastAsia="仿宋_GB2312" w:cs="仿宋_GB2312"/>
                <w:b/>
                <w:bCs/>
                <w:sz w:val="24"/>
              </w:rPr>
            </w:pPr>
            <w:r>
              <w:rPr>
                <w:rFonts w:hint="eastAsia" w:ascii="仿宋_GB2312" w:hAnsi="等线" w:eastAsia="仿宋_GB2312" w:cs="仿宋_GB2312"/>
                <w:b/>
                <w:bCs/>
                <w:kern w:val="0"/>
                <w:sz w:val="24"/>
              </w:rPr>
              <w:t>序号</w:t>
            </w:r>
          </w:p>
        </w:tc>
        <w:tc>
          <w:tcPr>
            <w:tcW w:w="5516" w:type="dxa"/>
            <w:tcBorders>
              <w:top w:val="single" w:color="auto" w:sz="4" w:space="0"/>
              <w:left w:val="single" w:color="auto" w:sz="4" w:space="0"/>
              <w:bottom w:val="single" w:color="auto" w:sz="4" w:space="0"/>
              <w:right w:val="single" w:color="auto" w:sz="4" w:space="0"/>
            </w:tcBorders>
            <w:vAlign w:val="center"/>
          </w:tcPr>
          <w:p w14:paraId="17DD03C0">
            <w:pPr>
              <w:widowControl/>
              <w:spacing w:line="360" w:lineRule="exact"/>
              <w:jc w:val="center"/>
              <w:textAlignment w:val="center"/>
              <w:rPr>
                <w:rFonts w:hint="eastAsia" w:ascii="仿宋_GB2312" w:hAnsi="等线" w:eastAsia="仿宋_GB2312" w:cs="仿宋_GB2312"/>
                <w:b/>
                <w:bCs/>
                <w:sz w:val="24"/>
              </w:rPr>
            </w:pPr>
            <w:r>
              <w:rPr>
                <w:rFonts w:hint="eastAsia" w:ascii="仿宋_GB2312" w:hAnsi="等线" w:eastAsia="仿宋_GB2312" w:cs="仿宋_GB2312"/>
                <w:b/>
                <w:bCs/>
                <w:kern w:val="0"/>
                <w:sz w:val="24"/>
              </w:rPr>
              <w:t>竞赛名称</w:t>
            </w:r>
          </w:p>
        </w:tc>
        <w:tc>
          <w:tcPr>
            <w:tcW w:w="8670" w:type="dxa"/>
            <w:tcBorders>
              <w:top w:val="single" w:color="auto" w:sz="4" w:space="0"/>
              <w:left w:val="single" w:color="auto" w:sz="4" w:space="0"/>
              <w:bottom w:val="single" w:color="auto" w:sz="4" w:space="0"/>
              <w:right w:val="single" w:color="auto" w:sz="4" w:space="0"/>
            </w:tcBorders>
            <w:vAlign w:val="center"/>
          </w:tcPr>
          <w:p w14:paraId="14E59F11">
            <w:pPr>
              <w:widowControl/>
              <w:spacing w:line="360" w:lineRule="exact"/>
              <w:jc w:val="center"/>
              <w:textAlignment w:val="center"/>
              <w:rPr>
                <w:rFonts w:hint="eastAsia" w:ascii="仿宋_GB2312" w:hAnsi="等线" w:eastAsia="仿宋_GB2312" w:cs="仿宋_GB2312"/>
                <w:b/>
                <w:bCs/>
                <w:sz w:val="24"/>
              </w:rPr>
            </w:pPr>
            <w:r>
              <w:rPr>
                <w:rFonts w:hint="eastAsia" w:ascii="仿宋_GB2312" w:hAnsi="等线" w:eastAsia="仿宋_GB2312" w:cs="仿宋_GB2312"/>
                <w:b/>
                <w:bCs/>
                <w:kern w:val="0"/>
                <w:sz w:val="24"/>
              </w:rPr>
              <w:t>主办方</w:t>
            </w:r>
          </w:p>
        </w:tc>
      </w:tr>
      <w:tr w14:paraId="0C50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000000" w:sz="4" w:space="0"/>
            </w:tcBorders>
            <w:shd w:val="clear" w:color="auto" w:fill="FFFFFF" w:themeFill="background1"/>
            <w:vAlign w:val="center"/>
          </w:tcPr>
          <w:p w14:paraId="414982C4">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1</w:t>
            </w:r>
          </w:p>
        </w:tc>
        <w:tc>
          <w:tcPr>
            <w:tcW w:w="5516" w:type="dxa"/>
            <w:tcBorders>
              <w:top w:val="single" w:color="auto" w:sz="4" w:space="0"/>
              <w:left w:val="single" w:color="000000" w:sz="4" w:space="0"/>
              <w:bottom w:val="single" w:color="auto" w:sz="4" w:space="0"/>
              <w:right w:val="single" w:color="000000" w:sz="4" w:space="0"/>
            </w:tcBorders>
            <w:shd w:val="clear" w:color="auto" w:fill="FFFFFF" w:themeFill="background1"/>
            <w:vAlign w:val="center"/>
          </w:tcPr>
          <w:p w14:paraId="3C2A64E2">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全国大学生数学建模竞赛</w:t>
            </w:r>
          </w:p>
        </w:tc>
        <w:tc>
          <w:tcPr>
            <w:tcW w:w="8670"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416CF71C">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教育部、财政部资助，教育部高等教育司、中国工业与应用数学学会主办</w:t>
            </w:r>
          </w:p>
        </w:tc>
      </w:tr>
      <w:tr w14:paraId="33D65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000000" w:sz="4" w:space="0"/>
            </w:tcBorders>
            <w:shd w:val="clear" w:color="auto" w:fill="FFFFFF" w:themeFill="background1"/>
            <w:vAlign w:val="center"/>
          </w:tcPr>
          <w:p w14:paraId="139BDC7F">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2</w:t>
            </w:r>
          </w:p>
        </w:tc>
        <w:tc>
          <w:tcPr>
            <w:tcW w:w="5516" w:type="dxa"/>
            <w:tcBorders>
              <w:top w:val="single" w:color="auto" w:sz="4" w:space="0"/>
              <w:left w:val="single" w:color="000000" w:sz="4" w:space="0"/>
              <w:bottom w:val="single" w:color="auto" w:sz="4" w:space="0"/>
              <w:right w:val="single" w:color="000000" w:sz="4" w:space="0"/>
            </w:tcBorders>
            <w:shd w:val="clear" w:color="auto" w:fill="FFFFFF" w:themeFill="background1"/>
            <w:vAlign w:val="center"/>
          </w:tcPr>
          <w:p w14:paraId="5D66A6F0">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全国大学生电子设计竞赛</w:t>
            </w:r>
          </w:p>
        </w:tc>
        <w:tc>
          <w:tcPr>
            <w:tcW w:w="8670"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461F24DF">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教育部、财政部资助，教育部高等教育司、工信部人事教育司主办</w:t>
            </w:r>
          </w:p>
        </w:tc>
      </w:tr>
      <w:tr w14:paraId="0FDF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40D957D8">
            <w:pPr>
              <w:widowControl/>
              <w:spacing w:line="360" w:lineRule="exact"/>
              <w:jc w:val="center"/>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3</w:t>
            </w:r>
          </w:p>
        </w:tc>
        <w:tc>
          <w:tcPr>
            <w:tcW w:w="5516" w:type="dxa"/>
            <w:tcBorders>
              <w:top w:val="single" w:color="auto" w:sz="4" w:space="0"/>
              <w:left w:val="single" w:color="auto" w:sz="4" w:space="0"/>
              <w:bottom w:val="single" w:color="auto" w:sz="4" w:space="0"/>
              <w:right w:val="single" w:color="auto" w:sz="4" w:space="0"/>
            </w:tcBorders>
            <w:vAlign w:val="center"/>
          </w:tcPr>
          <w:p w14:paraId="6D0BBE8D">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全国大学生广告艺术大赛</w:t>
            </w:r>
          </w:p>
        </w:tc>
        <w:tc>
          <w:tcPr>
            <w:tcW w:w="8670" w:type="dxa"/>
            <w:tcBorders>
              <w:top w:val="single" w:color="auto" w:sz="4" w:space="0"/>
              <w:left w:val="single" w:color="auto" w:sz="4" w:space="0"/>
              <w:bottom w:val="single" w:color="auto" w:sz="4" w:space="0"/>
              <w:right w:val="single" w:color="auto" w:sz="4" w:space="0"/>
            </w:tcBorders>
            <w:vAlign w:val="center"/>
          </w:tcPr>
          <w:p w14:paraId="769A1331">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教育部、财政部资助，教育部、全国大学生广告艺术大赛组委会主办</w:t>
            </w:r>
          </w:p>
        </w:tc>
      </w:tr>
      <w:tr w14:paraId="062F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0B2BED">
            <w:pPr>
              <w:widowControl/>
              <w:spacing w:line="360" w:lineRule="exact"/>
              <w:jc w:val="center"/>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4</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A0DBBF">
            <w:pPr>
              <w:widowControl/>
              <w:spacing w:line="360" w:lineRule="exact"/>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全国大学生电子商务“创新、创意及创业”挑战赛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1AEE27">
            <w:pPr>
              <w:widowControl/>
              <w:spacing w:line="360" w:lineRule="exact"/>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教育部、财政部资助，教育部高校电商类专业教学指导委员会主办</w:t>
            </w:r>
          </w:p>
        </w:tc>
      </w:tr>
      <w:tr w14:paraId="70A1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681E92">
            <w:pPr>
              <w:widowControl/>
              <w:spacing w:line="360" w:lineRule="exact"/>
              <w:jc w:val="center"/>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5</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69BC75">
            <w:pPr>
              <w:widowControl/>
              <w:spacing w:line="360" w:lineRule="exact"/>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中国大学生工程实践与创新能力大赛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6F79D2">
            <w:pPr>
              <w:widowControl/>
              <w:spacing w:line="360" w:lineRule="exact"/>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教育部、财政部资助，教育部高等教育司主办</w:t>
            </w:r>
          </w:p>
        </w:tc>
      </w:tr>
      <w:tr w14:paraId="5196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13729C">
            <w:pPr>
              <w:widowControl/>
              <w:spacing w:line="360" w:lineRule="exact"/>
              <w:jc w:val="center"/>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6</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20C52E">
            <w:pPr>
              <w:widowControl/>
              <w:spacing w:line="360" w:lineRule="exact"/>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全国大学生创新创业训练计划年会展示</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394EF4">
            <w:pPr>
              <w:widowControl/>
              <w:spacing w:line="360" w:lineRule="exact"/>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教育部高等教育司</w:t>
            </w:r>
          </w:p>
        </w:tc>
      </w:tr>
      <w:tr w14:paraId="647A0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8ECC75">
            <w:pPr>
              <w:widowControl/>
              <w:spacing w:line="360" w:lineRule="exact"/>
              <w:jc w:val="center"/>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7</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466FBB">
            <w:pPr>
              <w:widowControl/>
              <w:spacing w:line="360" w:lineRule="exact"/>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全国大学生机器人大赛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3940DC">
            <w:pPr>
              <w:widowControl/>
              <w:spacing w:line="360" w:lineRule="exact"/>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共青团中央、全国学联</w:t>
            </w:r>
          </w:p>
        </w:tc>
      </w:tr>
      <w:tr w14:paraId="4C46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A95BC8">
            <w:pPr>
              <w:widowControl/>
              <w:spacing w:line="360" w:lineRule="exact"/>
              <w:jc w:val="center"/>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8</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32CF97">
            <w:pPr>
              <w:widowControl/>
              <w:spacing w:line="360" w:lineRule="exact"/>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“西门子杯”中国智能制造挑战赛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5295B9">
            <w:pPr>
              <w:widowControl/>
              <w:spacing w:line="360" w:lineRule="exact"/>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教育部国际合作与交流司</w:t>
            </w:r>
          </w:p>
        </w:tc>
      </w:tr>
      <w:tr w14:paraId="439DD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47C4FA9F">
            <w:pPr>
              <w:widowControl/>
              <w:spacing w:line="360" w:lineRule="exact"/>
              <w:jc w:val="center"/>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9</w:t>
            </w:r>
          </w:p>
        </w:tc>
        <w:tc>
          <w:tcPr>
            <w:tcW w:w="5516" w:type="dxa"/>
            <w:tcBorders>
              <w:top w:val="single" w:color="auto" w:sz="4" w:space="0"/>
              <w:left w:val="single" w:color="auto" w:sz="4" w:space="0"/>
              <w:bottom w:val="single" w:color="auto" w:sz="4" w:space="0"/>
              <w:right w:val="single" w:color="auto" w:sz="4" w:space="0"/>
            </w:tcBorders>
            <w:vAlign w:val="center"/>
          </w:tcPr>
          <w:p w14:paraId="6ACF6F30">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中美青年创客大赛</w:t>
            </w:r>
          </w:p>
        </w:tc>
        <w:tc>
          <w:tcPr>
            <w:tcW w:w="8670" w:type="dxa"/>
            <w:tcBorders>
              <w:top w:val="single" w:color="auto" w:sz="4" w:space="0"/>
              <w:left w:val="single" w:color="auto" w:sz="4" w:space="0"/>
              <w:bottom w:val="single" w:color="auto" w:sz="4" w:space="0"/>
              <w:right w:val="single" w:color="auto" w:sz="4" w:space="0"/>
            </w:tcBorders>
            <w:vAlign w:val="center"/>
          </w:tcPr>
          <w:p w14:paraId="32E984F1">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由教育部国际合作与交流司主办，教育部留学服务中心、清华大学等承办</w:t>
            </w:r>
          </w:p>
        </w:tc>
      </w:tr>
      <w:tr w14:paraId="70A6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19934D13">
            <w:pPr>
              <w:widowControl/>
              <w:spacing w:line="360" w:lineRule="exact"/>
              <w:jc w:val="center"/>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10</w:t>
            </w:r>
          </w:p>
        </w:tc>
        <w:tc>
          <w:tcPr>
            <w:tcW w:w="5516" w:type="dxa"/>
            <w:tcBorders>
              <w:top w:val="single" w:color="auto" w:sz="4" w:space="0"/>
              <w:left w:val="single" w:color="auto" w:sz="4" w:space="0"/>
              <w:bottom w:val="single" w:color="auto" w:sz="4" w:space="0"/>
              <w:right w:val="single" w:color="auto" w:sz="4" w:space="0"/>
            </w:tcBorders>
            <w:vAlign w:val="center"/>
          </w:tcPr>
          <w:p w14:paraId="43009D81">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全国大学生物理实验竞赛</w:t>
            </w:r>
          </w:p>
        </w:tc>
        <w:tc>
          <w:tcPr>
            <w:tcW w:w="8670" w:type="dxa"/>
            <w:tcBorders>
              <w:top w:val="single" w:color="auto" w:sz="4" w:space="0"/>
              <w:left w:val="single" w:color="auto" w:sz="4" w:space="0"/>
              <w:bottom w:val="single" w:color="auto" w:sz="4" w:space="0"/>
              <w:right w:val="single" w:color="auto" w:sz="4" w:space="0"/>
            </w:tcBorders>
            <w:vAlign w:val="center"/>
          </w:tcPr>
          <w:p w14:paraId="09A74245">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教育部、财政部资助，教育部高等学校大学物理课程教学指导委员会、物理学类专业教学指导委员会</w:t>
            </w:r>
          </w:p>
        </w:tc>
      </w:tr>
      <w:tr w14:paraId="674A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2E537FC9">
            <w:pPr>
              <w:widowControl/>
              <w:spacing w:line="360" w:lineRule="exact"/>
              <w:jc w:val="center"/>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11</w:t>
            </w:r>
          </w:p>
        </w:tc>
        <w:tc>
          <w:tcPr>
            <w:tcW w:w="5516" w:type="dxa"/>
            <w:tcBorders>
              <w:top w:val="single" w:color="auto" w:sz="4" w:space="0"/>
              <w:left w:val="single" w:color="auto" w:sz="4" w:space="0"/>
              <w:bottom w:val="single" w:color="auto" w:sz="4" w:space="0"/>
              <w:right w:val="single" w:color="auto" w:sz="4" w:space="0"/>
            </w:tcBorders>
            <w:vAlign w:val="center"/>
          </w:tcPr>
          <w:p w14:paraId="545A1EDB">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全国大学生节能减排社会实践与科技竞赛</w:t>
            </w:r>
          </w:p>
        </w:tc>
        <w:tc>
          <w:tcPr>
            <w:tcW w:w="8670" w:type="dxa"/>
            <w:tcBorders>
              <w:top w:val="single" w:color="auto" w:sz="4" w:space="0"/>
              <w:left w:val="single" w:color="auto" w:sz="4" w:space="0"/>
              <w:bottom w:val="single" w:color="auto" w:sz="4" w:space="0"/>
              <w:right w:val="single" w:color="auto" w:sz="4" w:space="0"/>
            </w:tcBorders>
            <w:vAlign w:val="center"/>
          </w:tcPr>
          <w:p w14:paraId="205E936C">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教育部、财政部资助，教育部高等学校能源动力类专业教学指导委员会主办</w:t>
            </w:r>
          </w:p>
        </w:tc>
      </w:tr>
      <w:tr w14:paraId="23CC8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2BF42F02">
            <w:pPr>
              <w:widowControl/>
              <w:spacing w:line="360" w:lineRule="exact"/>
              <w:jc w:val="center"/>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12</w:t>
            </w:r>
          </w:p>
        </w:tc>
        <w:tc>
          <w:tcPr>
            <w:tcW w:w="5516" w:type="dxa"/>
            <w:tcBorders>
              <w:top w:val="single" w:color="auto" w:sz="4" w:space="0"/>
              <w:left w:val="single" w:color="auto" w:sz="4" w:space="0"/>
              <w:bottom w:val="single" w:color="auto" w:sz="4" w:space="0"/>
              <w:right w:val="single" w:color="auto" w:sz="4" w:space="0"/>
            </w:tcBorders>
            <w:vAlign w:val="center"/>
          </w:tcPr>
          <w:p w14:paraId="51BC3811">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中华经典诵写讲大赛-①讲解大赛、②书写大赛、③诵读大赛、④篆刻大赛</w:t>
            </w:r>
          </w:p>
        </w:tc>
        <w:tc>
          <w:tcPr>
            <w:tcW w:w="8670" w:type="dxa"/>
            <w:tcBorders>
              <w:top w:val="single" w:color="auto" w:sz="4" w:space="0"/>
              <w:left w:val="single" w:color="auto" w:sz="4" w:space="0"/>
              <w:bottom w:val="single" w:color="auto" w:sz="4" w:space="0"/>
              <w:right w:val="single" w:color="auto" w:sz="4" w:space="0"/>
            </w:tcBorders>
            <w:vAlign w:val="center"/>
          </w:tcPr>
          <w:p w14:paraId="3CBFC3EF">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教育部语言应用管理司</w:t>
            </w:r>
          </w:p>
        </w:tc>
      </w:tr>
      <w:tr w14:paraId="6CB35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78605F60">
            <w:pPr>
              <w:widowControl/>
              <w:spacing w:line="360" w:lineRule="exact"/>
              <w:jc w:val="center"/>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13</w:t>
            </w:r>
          </w:p>
        </w:tc>
        <w:tc>
          <w:tcPr>
            <w:tcW w:w="5516" w:type="dxa"/>
            <w:tcBorders>
              <w:top w:val="single" w:color="auto" w:sz="4" w:space="0"/>
              <w:left w:val="single" w:color="auto" w:sz="4" w:space="0"/>
              <w:bottom w:val="single" w:color="auto" w:sz="4" w:space="0"/>
              <w:right w:val="single" w:color="auto" w:sz="4" w:space="0"/>
            </w:tcBorders>
            <w:vAlign w:val="center"/>
          </w:tcPr>
          <w:p w14:paraId="2437D1B3">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全国大学生职业规划大赛</w:t>
            </w:r>
          </w:p>
        </w:tc>
        <w:tc>
          <w:tcPr>
            <w:tcW w:w="8670" w:type="dxa"/>
            <w:tcBorders>
              <w:top w:val="single" w:color="auto" w:sz="4" w:space="0"/>
              <w:left w:val="single" w:color="auto" w:sz="4" w:space="0"/>
              <w:bottom w:val="single" w:color="auto" w:sz="4" w:space="0"/>
              <w:right w:val="single" w:color="auto" w:sz="4" w:space="0"/>
            </w:tcBorders>
            <w:vAlign w:val="center"/>
          </w:tcPr>
          <w:p w14:paraId="0C748231">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教育部</w:t>
            </w:r>
          </w:p>
        </w:tc>
      </w:tr>
      <w:tr w14:paraId="093D4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36B18CBB">
            <w:pPr>
              <w:widowControl/>
              <w:spacing w:line="360" w:lineRule="exact"/>
              <w:jc w:val="center"/>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14</w:t>
            </w:r>
          </w:p>
        </w:tc>
        <w:tc>
          <w:tcPr>
            <w:tcW w:w="5516" w:type="dxa"/>
            <w:tcBorders>
              <w:top w:val="single" w:color="auto" w:sz="4" w:space="0"/>
              <w:left w:val="single" w:color="auto" w:sz="4" w:space="0"/>
              <w:bottom w:val="single" w:color="auto" w:sz="4" w:space="0"/>
              <w:right w:val="single" w:color="auto" w:sz="4" w:space="0"/>
            </w:tcBorders>
            <w:vAlign w:val="center"/>
          </w:tcPr>
          <w:p w14:paraId="5470ACF0">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全国学生“学宪法 讲宪法”活动</w:t>
            </w:r>
          </w:p>
        </w:tc>
        <w:tc>
          <w:tcPr>
            <w:tcW w:w="8670" w:type="dxa"/>
            <w:tcBorders>
              <w:top w:val="single" w:color="auto" w:sz="4" w:space="0"/>
              <w:left w:val="single" w:color="auto" w:sz="4" w:space="0"/>
              <w:bottom w:val="single" w:color="auto" w:sz="4" w:space="0"/>
              <w:right w:val="single" w:color="auto" w:sz="4" w:space="0"/>
            </w:tcBorders>
            <w:vAlign w:val="center"/>
          </w:tcPr>
          <w:p w14:paraId="01A74636">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教育部全国教育普法领导小组办公室（政策法规司）</w:t>
            </w:r>
          </w:p>
        </w:tc>
      </w:tr>
      <w:tr w14:paraId="4670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3F8E53">
            <w:pPr>
              <w:widowControl/>
              <w:spacing w:line="360" w:lineRule="exact"/>
              <w:jc w:val="center"/>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15</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43BDCA">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ACM-ICPC国际大学生程序设计竞赛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D4AFFC">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国际计算机协会</w:t>
            </w:r>
          </w:p>
        </w:tc>
      </w:tr>
      <w:tr w14:paraId="53AA1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21"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429710">
            <w:pPr>
              <w:spacing w:line="360" w:lineRule="exact"/>
              <w:jc w:val="center"/>
              <w:rPr>
                <w:rFonts w:hint="eastAsia" w:ascii="仿宋_GB2312" w:hAnsi="等线" w:eastAsia="仿宋_GB2312" w:cs="仿宋_GB2312"/>
                <w:sz w:val="24"/>
              </w:rPr>
            </w:pPr>
            <w:r>
              <w:rPr>
                <w:rFonts w:hint="eastAsia" w:ascii="黑体" w:hAnsi="等线" w:eastAsia="黑体" w:cs="黑体"/>
                <w:kern w:val="0"/>
                <w:sz w:val="28"/>
                <w:szCs w:val="28"/>
              </w:rPr>
              <w:t>一类竞赛（D级）：43个竞赛</w:t>
            </w:r>
          </w:p>
        </w:tc>
      </w:tr>
      <w:tr w14:paraId="66D4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546443">
            <w:pPr>
              <w:widowControl/>
              <w:spacing w:line="360" w:lineRule="exact"/>
              <w:jc w:val="center"/>
              <w:textAlignment w:val="center"/>
              <w:rPr>
                <w:rFonts w:hint="eastAsia" w:ascii="仿宋_GB2312" w:hAnsi="等线" w:eastAsia="仿宋_GB2312" w:cs="仿宋_GB2312"/>
                <w:b/>
                <w:bCs/>
                <w:sz w:val="24"/>
              </w:rPr>
            </w:pPr>
            <w:r>
              <w:rPr>
                <w:rFonts w:hint="eastAsia" w:ascii="仿宋_GB2312" w:hAnsi="等线" w:eastAsia="仿宋_GB2312" w:cs="仿宋_GB2312"/>
                <w:b/>
                <w:bCs/>
                <w:kern w:val="0"/>
                <w:sz w:val="24"/>
              </w:rPr>
              <w:t>序号</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9735DC">
            <w:pPr>
              <w:widowControl/>
              <w:spacing w:line="360" w:lineRule="exact"/>
              <w:jc w:val="center"/>
              <w:textAlignment w:val="center"/>
              <w:rPr>
                <w:rFonts w:hint="eastAsia" w:ascii="仿宋_GB2312" w:hAnsi="等线" w:eastAsia="仿宋_GB2312" w:cs="仿宋_GB2312"/>
                <w:b/>
                <w:bCs/>
                <w:sz w:val="24"/>
              </w:rPr>
            </w:pPr>
            <w:r>
              <w:rPr>
                <w:rFonts w:hint="eastAsia" w:ascii="仿宋_GB2312" w:hAnsi="等线" w:eastAsia="仿宋_GB2312" w:cs="仿宋_GB2312"/>
                <w:b/>
                <w:bCs/>
                <w:kern w:val="0"/>
                <w:sz w:val="24"/>
              </w:rPr>
              <w:t>竞赛名称</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F9F264">
            <w:pPr>
              <w:widowControl/>
              <w:spacing w:line="360" w:lineRule="exact"/>
              <w:jc w:val="center"/>
              <w:textAlignment w:val="center"/>
              <w:rPr>
                <w:rFonts w:hint="eastAsia" w:ascii="仿宋_GB2312" w:hAnsi="等线" w:eastAsia="仿宋_GB2312" w:cs="仿宋_GB2312"/>
                <w:b/>
                <w:bCs/>
                <w:sz w:val="24"/>
              </w:rPr>
            </w:pPr>
            <w:r>
              <w:rPr>
                <w:rFonts w:hint="eastAsia" w:ascii="仿宋_GB2312" w:hAnsi="等线" w:eastAsia="仿宋_GB2312" w:cs="仿宋_GB2312"/>
                <w:b/>
                <w:bCs/>
                <w:kern w:val="0"/>
                <w:sz w:val="24"/>
              </w:rPr>
              <w:t>主办方</w:t>
            </w:r>
          </w:p>
        </w:tc>
      </w:tr>
      <w:tr w14:paraId="013B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B199AE">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1</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616608">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中国国际飞行器设计挑战赛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93EEC2">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国家体育总局航管中心、中国航空运动协会</w:t>
            </w:r>
          </w:p>
        </w:tc>
      </w:tr>
      <w:tr w14:paraId="0477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64E8C218">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2</w:t>
            </w:r>
          </w:p>
        </w:tc>
        <w:tc>
          <w:tcPr>
            <w:tcW w:w="5516" w:type="dxa"/>
            <w:tcBorders>
              <w:top w:val="single" w:color="auto" w:sz="4" w:space="0"/>
              <w:left w:val="single" w:color="auto" w:sz="4" w:space="0"/>
              <w:bottom w:val="single" w:color="auto" w:sz="4" w:space="0"/>
              <w:right w:val="single" w:color="auto" w:sz="4" w:space="0"/>
            </w:tcBorders>
            <w:vAlign w:val="center"/>
          </w:tcPr>
          <w:p w14:paraId="506AF22E">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外研社全国大学生英语系列赛-①英语演讲、②英语辩论、③英语写作、④英语阅读</w:t>
            </w:r>
          </w:p>
        </w:tc>
        <w:tc>
          <w:tcPr>
            <w:tcW w:w="8670" w:type="dxa"/>
            <w:tcBorders>
              <w:top w:val="single" w:color="auto" w:sz="4" w:space="0"/>
              <w:left w:val="single" w:color="auto" w:sz="4" w:space="0"/>
              <w:bottom w:val="single" w:color="auto" w:sz="4" w:space="0"/>
              <w:right w:val="single" w:color="auto" w:sz="4" w:space="0"/>
            </w:tcBorders>
            <w:vAlign w:val="center"/>
          </w:tcPr>
          <w:p w14:paraId="31D99D63">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北京外国语大学</w:t>
            </w:r>
          </w:p>
        </w:tc>
      </w:tr>
      <w:tr w14:paraId="14F8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7E615ADE">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3</w:t>
            </w:r>
          </w:p>
        </w:tc>
        <w:tc>
          <w:tcPr>
            <w:tcW w:w="5516" w:type="dxa"/>
            <w:tcBorders>
              <w:top w:val="single" w:color="auto" w:sz="4" w:space="0"/>
              <w:left w:val="single" w:color="auto" w:sz="4" w:space="0"/>
              <w:bottom w:val="single" w:color="auto" w:sz="4" w:space="0"/>
              <w:right w:val="single" w:color="auto" w:sz="4" w:space="0"/>
            </w:tcBorders>
            <w:vAlign w:val="center"/>
          </w:tcPr>
          <w:p w14:paraId="77E80024">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两岸新锐设计竞赛·华灿奖</w:t>
            </w:r>
          </w:p>
        </w:tc>
        <w:tc>
          <w:tcPr>
            <w:tcW w:w="8670" w:type="dxa"/>
            <w:tcBorders>
              <w:top w:val="single" w:color="auto" w:sz="4" w:space="0"/>
              <w:left w:val="single" w:color="auto" w:sz="4" w:space="0"/>
              <w:bottom w:val="single" w:color="auto" w:sz="4" w:space="0"/>
              <w:right w:val="single" w:color="auto" w:sz="4" w:space="0"/>
            </w:tcBorders>
            <w:vAlign w:val="center"/>
          </w:tcPr>
          <w:p w14:paraId="1A5A4AE9">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中国高等教育学会、中华中山文化交流协会和北京歌华传媒集团有限责任公司</w:t>
            </w:r>
          </w:p>
        </w:tc>
      </w:tr>
      <w:tr w14:paraId="3E617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1B7D80C4">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4</w:t>
            </w:r>
          </w:p>
        </w:tc>
        <w:tc>
          <w:tcPr>
            <w:tcW w:w="5516" w:type="dxa"/>
            <w:tcBorders>
              <w:top w:val="single" w:color="auto" w:sz="4" w:space="0"/>
              <w:left w:val="single" w:color="auto" w:sz="4" w:space="0"/>
              <w:bottom w:val="single" w:color="auto" w:sz="4" w:space="0"/>
              <w:right w:val="single" w:color="auto" w:sz="4" w:space="0"/>
            </w:tcBorders>
            <w:vAlign w:val="center"/>
          </w:tcPr>
          <w:p w14:paraId="38C19886">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全国大学生化工设计竞赛</w:t>
            </w:r>
          </w:p>
        </w:tc>
        <w:tc>
          <w:tcPr>
            <w:tcW w:w="8670" w:type="dxa"/>
            <w:tcBorders>
              <w:top w:val="single" w:color="auto" w:sz="4" w:space="0"/>
              <w:left w:val="single" w:color="auto" w:sz="4" w:space="0"/>
              <w:bottom w:val="single" w:color="auto" w:sz="4" w:space="0"/>
              <w:right w:val="single" w:color="auto" w:sz="4" w:space="0"/>
            </w:tcBorders>
            <w:vAlign w:val="center"/>
          </w:tcPr>
          <w:p w14:paraId="760524CB">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教育部高等学校化工类专业教学指导委员会、中国化工学会、中国化工教育协会</w:t>
            </w:r>
          </w:p>
        </w:tc>
      </w:tr>
      <w:tr w14:paraId="5DEC9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3B3778E4">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5</w:t>
            </w:r>
          </w:p>
        </w:tc>
        <w:tc>
          <w:tcPr>
            <w:tcW w:w="5516" w:type="dxa"/>
            <w:tcBorders>
              <w:top w:val="single" w:color="auto" w:sz="4" w:space="0"/>
              <w:left w:val="single" w:color="auto" w:sz="4" w:space="0"/>
              <w:bottom w:val="single" w:color="auto" w:sz="4" w:space="0"/>
              <w:right w:val="single" w:color="auto" w:sz="4" w:space="0"/>
            </w:tcBorders>
            <w:vAlign w:val="center"/>
          </w:tcPr>
          <w:p w14:paraId="5A258F67">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全国大学生市场调查与分析大赛</w:t>
            </w:r>
          </w:p>
        </w:tc>
        <w:tc>
          <w:tcPr>
            <w:tcW w:w="8670" w:type="dxa"/>
            <w:tcBorders>
              <w:top w:val="single" w:color="auto" w:sz="4" w:space="0"/>
              <w:left w:val="single" w:color="auto" w:sz="4" w:space="0"/>
              <w:bottom w:val="single" w:color="auto" w:sz="4" w:space="0"/>
              <w:right w:val="single" w:color="auto" w:sz="4" w:space="0"/>
            </w:tcBorders>
            <w:vAlign w:val="center"/>
          </w:tcPr>
          <w:p w14:paraId="6DFB54AE">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教育部高等学校统计学类专业教学指导委员会、中国商业统计学会</w:t>
            </w:r>
          </w:p>
        </w:tc>
      </w:tr>
      <w:tr w14:paraId="18486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587C6F0D">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6</w:t>
            </w:r>
          </w:p>
        </w:tc>
        <w:tc>
          <w:tcPr>
            <w:tcW w:w="5516" w:type="dxa"/>
            <w:tcBorders>
              <w:top w:val="single" w:color="auto" w:sz="4" w:space="0"/>
              <w:left w:val="single" w:color="auto" w:sz="4" w:space="0"/>
              <w:bottom w:val="single" w:color="auto" w:sz="4" w:space="0"/>
              <w:right w:val="single" w:color="auto" w:sz="4" w:space="0"/>
            </w:tcBorders>
            <w:vAlign w:val="center"/>
          </w:tcPr>
          <w:p w14:paraId="38BD1AFE">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全国大学生先进成图技术与产品信息建模创新大赛</w:t>
            </w:r>
          </w:p>
        </w:tc>
        <w:tc>
          <w:tcPr>
            <w:tcW w:w="8670" w:type="dxa"/>
            <w:tcBorders>
              <w:top w:val="single" w:color="auto" w:sz="4" w:space="0"/>
              <w:left w:val="single" w:color="auto" w:sz="4" w:space="0"/>
              <w:bottom w:val="single" w:color="auto" w:sz="4" w:space="0"/>
              <w:right w:val="single" w:color="auto" w:sz="4" w:space="0"/>
            </w:tcBorders>
            <w:vAlign w:val="center"/>
          </w:tcPr>
          <w:p w14:paraId="49C150DF">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教育部高等学校工程图学课程教学指导委员会、中国图学学会制图技术专业委员会和中国图学学会产品信息建模专业委员会</w:t>
            </w:r>
          </w:p>
        </w:tc>
      </w:tr>
      <w:tr w14:paraId="31CE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2D083D0C">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7</w:t>
            </w:r>
          </w:p>
        </w:tc>
        <w:tc>
          <w:tcPr>
            <w:tcW w:w="5516" w:type="dxa"/>
            <w:tcBorders>
              <w:top w:val="single" w:color="auto" w:sz="4" w:space="0"/>
              <w:left w:val="single" w:color="auto" w:sz="4" w:space="0"/>
              <w:bottom w:val="single" w:color="auto" w:sz="4" w:space="0"/>
              <w:right w:val="single" w:color="auto" w:sz="4" w:space="0"/>
            </w:tcBorders>
            <w:vAlign w:val="center"/>
          </w:tcPr>
          <w:p w14:paraId="301AB1C1">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全国三维数字化创新设计大赛</w:t>
            </w:r>
          </w:p>
        </w:tc>
        <w:tc>
          <w:tcPr>
            <w:tcW w:w="8670" w:type="dxa"/>
            <w:tcBorders>
              <w:top w:val="single" w:color="auto" w:sz="4" w:space="0"/>
              <w:left w:val="single" w:color="auto" w:sz="4" w:space="0"/>
              <w:bottom w:val="single" w:color="auto" w:sz="4" w:space="0"/>
              <w:right w:val="single" w:color="auto" w:sz="4" w:space="0"/>
            </w:tcBorders>
            <w:vAlign w:val="center"/>
          </w:tcPr>
          <w:p w14:paraId="0B21FC07">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联合国家制造业信息化培训中心、全国三维数字化技术推广服务与教育培训联盟（3D动力）、北京光华设计发展基金会</w:t>
            </w:r>
          </w:p>
        </w:tc>
      </w:tr>
      <w:tr w14:paraId="7D6EB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74FFE8">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8</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8A5C52">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中国大学生计算机设计大赛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0484FD">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教育部高等学校计算机类专业教学指导委员会</w:t>
            </w:r>
          </w:p>
        </w:tc>
      </w:tr>
      <w:tr w14:paraId="460A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8372D0">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9</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D85507">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中国高校计算机大赛-①大数据挑战赛、②团体程序设计天梯赛、③移动应用创新赛、④网络技术挑战赛、⑤人工智能创意赛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42C19D">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全国高等学校计算机教育研究会</w:t>
            </w:r>
          </w:p>
        </w:tc>
      </w:tr>
      <w:tr w14:paraId="0F74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66993E">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10</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1190E6">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蓝桥杯全国软件和信息技术专业人才大赛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F0BC4B">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工业和信息化部人才交流中心</w:t>
            </w:r>
          </w:p>
        </w:tc>
      </w:tr>
      <w:tr w14:paraId="0FF9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0A14A9">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11</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C79726">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米兰设计周--中国高校设计学科师生优秀作品展</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FE5B1B">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中国教育国际交流协会、中国高等教育学会</w:t>
            </w:r>
          </w:p>
        </w:tc>
      </w:tr>
      <w:tr w14:paraId="3EE3F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1A4244">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12</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6CE599">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全国大学生信息安全竞赛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B0EF96">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中国信息安全测评中心、教育部高等学校网络空间安全专业指导委员会、中国互联网发展基金会</w:t>
            </w:r>
          </w:p>
        </w:tc>
      </w:tr>
      <w:tr w14:paraId="70C8B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C0FEDE">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13</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FE7A37">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未来设计师·全国高校数字艺术设计大赛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A37B94">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工业和信息部人才交流中心</w:t>
            </w:r>
          </w:p>
        </w:tc>
      </w:tr>
      <w:tr w14:paraId="4E4FE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20B4D8">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14</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C69CE9">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全国周培源大学生力学竞赛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7E5357">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教育部高等学校力学教学指导委员会力学基础课程教学指导分委员会、中国力学学会、周培源基金会</w:t>
            </w:r>
          </w:p>
        </w:tc>
      </w:tr>
      <w:tr w14:paraId="6EE97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AB82C3">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15</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C46F25">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中国大学生机械工程创新创意大赛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E8C565">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中国机械工程学会</w:t>
            </w:r>
          </w:p>
        </w:tc>
      </w:tr>
      <w:tr w14:paraId="34FB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74C846">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16</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33E87E">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中国机器人大赛暨RoboCup机器人世界杯中国赛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6AF30E">
            <w:pPr>
              <w:widowControl/>
              <w:spacing w:line="360" w:lineRule="exact"/>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中国自动化学会</w:t>
            </w:r>
          </w:p>
        </w:tc>
      </w:tr>
      <w:tr w14:paraId="2B83D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DEE24F">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17</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9CB8DB">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“中国软件杯”大学生软件设计大赛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6C8054">
            <w:pPr>
              <w:widowControl/>
              <w:spacing w:line="360" w:lineRule="exact"/>
              <w:textAlignment w:val="center"/>
              <w:rPr>
                <w:rFonts w:hint="eastAsia" w:ascii="仿宋_GB2312" w:hAnsi="等线" w:eastAsia="仿宋_GB2312" w:cs="仿宋_GB2312"/>
                <w:kern w:val="0"/>
                <w:sz w:val="24"/>
              </w:rPr>
            </w:pPr>
            <w:r>
              <w:rPr>
                <w:rFonts w:hint="eastAsia" w:ascii="仿宋_GB2312" w:hAnsi="等线" w:eastAsia="仿宋_GB2312" w:cs="仿宋_GB2312"/>
                <w:kern w:val="0"/>
                <w:sz w:val="24"/>
              </w:rPr>
              <w:t>“中国软件杯”大学生软件设计大赛组委会</w:t>
            </w:r>
          </w:p>
        </w:tc>
      </w:tr>
      <w:tr w14:paraId="3D46A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DD1070">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18</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CCA447">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睿抗机器人开发者大赛（RAICOM）</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C720EB">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工业和信息化部人才交流中心</w:t>
            </w:r>
          </w:p>
        </w:tc>
      </w:tr>
      <w:tr w14:paraId="57D4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2340A2">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19</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737704">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“大唐杯”全国大学生新一代信息通信技术大赛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A9D16F">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工业和信息化部人才交流中心、中国通信企业协会</w:t>
            </w:r>
          </w:p>
        </w:tc>
      </w:tr>
      <w:tr w14:paraId="25C3F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B0C37C">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20</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482A2A">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华为ICT大赛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8656FC">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华为公司</w:t>
            </w:r>
          </w:p>
        </w:tc>
      </w:tr>
      <w:tr w14:paraId="67E7E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FD0615">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21</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DF4B5E">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全国大学生嵌入式芯片与系统设计竞赛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5B12AA">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中国电子教育学会</w:t>
            </w:r>
          </w:p>
        </w:tc>
      </w:tr>
      <w:tr w14:paraId="453F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E7DFD9">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22</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8361E5">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全国大学生生命科学竞赛(GULSC)</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4F74C5">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教育部高等学校生物科学类专业教学指导委员会、教育部高等学校生物技术、生物工程类专业教学指导委员会和教育部高等学校大学生生物学课程教学指导委员会</w:t>
            </w:r>
          </w:p>
        </w:tc>
      </w:tr>
      <w:tr w14:paraId="313E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B85471">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23</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8C301D">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全国高校商业精英挑战赛-①品牌策划竞赛、②会展专业创新创业实践竞赛、③国际贸易竞赛、④创新创业竞赛、⑤会计与商业管理案例竞赛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1ECA29">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中国国际贸易促进委员会商业行业委员会、中国国际商会商业行业商会、中国商业经济学会</w:t>
            </w:r>
          </w:p>
        </w:tc>
      </w:tr>
      <w:tr w14:paraId="3895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764DEF">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24</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9896ED">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“学创杯”全国大学生创业综合模拟大赛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E2D86B">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高等学校国家级实验教学示范中心联席会经济与管理学科组、中国陶行知研究会</w:t>
            </w:r>
          </w:p>
        </w:tc>
      </w:tr>
      <w:tr w14:paraId="3A3F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75FB73">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25</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3C4DC2">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中国高校智能机器人创意大赛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7FE34A">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中国高等教育学会、教育部工程图学课程教学指导分委员会</w:t>
            </w:r>
          </w:p>
        </w:tc>
      </w:tr>
      <w:tr w14:paraId="13BB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8E3B80">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26</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8D6895">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中国好创意暨全国数字艺术设计大赛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F1CFC1">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中国电子视像行业协会</w:t>
            </w:r>
          </w:p>
        </w:tc>
      </w:tr>
      <w:tr w14:paraId="54D58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27D05B">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27</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710208">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中国机器人及人工智能大赛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67D7FB">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中国机器人及人工智能大赛组委会</w:t>
            </w:r>
          </w:p>
        </w:tc>
      </w:tr>
      <w:tr w14:paraId="5E15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CEBEB2">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28</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7663F8">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“21世纪杯 ”全国英语演讲比赛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E5E881">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21世纪报社</w:t>
            </w:r>
          </w:p>
        </w:tc>
      </w:tr>
      <w:tr w14:paraId="40C03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50446C">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29</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5DC863">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iCAN大学生创新创业大赛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DD6032">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中国信息协会、iCAN大学生创新创业大赛组织委员会</w:t>
            </w:r>
          </w:p>
        </w:tc>
      </w:tr>
      <w:tr w14:paraId="2882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F1E75F">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30</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45F955">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“外教社杯”全国高校学生跨文化能力大赛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7B1934">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中国教育国际交流协会指导、上海外国语大学、上海外语教育出版社承办</w:t>
            </w:r>
          </w:p>
        </w:tc>
      </w:tr>
      <w:tr w14:paraId="4DD7F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E20CAA">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31</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0C9AB1">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百度之星·程序设计大赛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975656">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百度在线网络技术（北京）有限公司（简称百度公司）</w:t>
            </w:r>
          </w:p>
        </w:tc>
      </w:tr>
      <w:tr w14:paraId="6D9C1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8BC904">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32</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AB81A9">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全国大学生工业设计大赛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99F6C1">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全国工业设计一流专业建设协同创新平台、广东省本科高校工业设计专业教学指导委员会</w:t>
            </w:r>
          </w:p>
        </w:tc>
      </w:tr>
      <w:tr w14:paraId="62AD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95566A">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33</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20DA20">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全国大学生化工实验大赛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5CF19E">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中国化工教育协会</w:t>
            </w:r>
          </w:p>
        </w:tc>
      </w:tr>
      <w:tr w14:paraId="38D60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93F026">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34</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70BFB1">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全国大学生化学实验创新设计大赛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76B3A1">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中国化学会和教育部高等学校国家级实验教学示范中心联席会</w:t>
            </w:r>
          </w:p>
        </w:tc>
      </w:tr>
      <w:tr w14:paraId="5264F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11B8C7">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35</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EA5154">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全国大学生计算机系统能力大赛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3EF5B4">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全国高校计算机教育研究会、全国大学生计算机系统能力大赛组委会</w:t>
            </w:r>
          </w:p>
        </w:tc>
      </w:tr>
      <w:tr w14:paraId="02CA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E5F6CB">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36</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397846">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全国大学生花园设计建造竞赛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C80DEA">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中国风景园林学会教育工作委员会、北京林业大学</w:t>
            </w:r>
          </w:p>
        </w:tc>
      </w:tr>
      <w:tr w14:paraId="3BE48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6F8855">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37</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CDF2E1">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全国大学生物联网设计竞赛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EB95F3">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全国高等学校计算机教育研究会、全国大学生物网设计竞赛组织委员会</w:t>
            </w:r>
          </w:p>
        </w:tc>
      </w:tr>
      <w:tr w14:paraId="0EEAA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3271BD">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38</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424C9B">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全国大学生信息安全与对抗技术竞赛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81B431">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中国兵工学会</w:t>
            </w:r>
          </w:p>
        </w:tc>
      </w:tr>
      <w:tr w14:paraId="7C2E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E83ECE">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39</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BE474A">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全国大学生统计建模大赛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C1D5A5">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中国统计教育学会</w:t>
            </w:r>
          </w:p>
        </w:tc>
      </w:tr>
      <w:tr w14:paraId="2D27E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BD842C">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40</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843E43">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全国大学生数字媒体科技作品及创意竞赛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55659B">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中国人工智能学会</w:t>
            </w:r>
          </w:p>
        </w:tc>
      </w:tr>
      <w:tr w14:paraId="289B6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D3A5BC">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41</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8A0200">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全国企业竞争模拟大赛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7B98A3">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中国管理现代化研究会</w:t>
            </w:r>
          </w:p>
        </w:tc>
      </w:tr>
      <w:tr w14:paraId="4BAC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07B48E">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42</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A68DAA">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全国高等院校数智化企业经营沙盘大赛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95AA1F">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中国商业联合会、新道科技股份有限公司</w:t>
            </w:r>
          </w:p>
        </w:tc>
      </w:tr>
      <w:tr w14:paraId="4470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92DEED">
            <w:pPr>
              <w:widowControl/>
              <w:spacing w:line="360" w:lineRule="exact"/>
              <w:jc w:val="center"/>
              <w:textAlignment w:val="center"/>
              <w:rPr>
                <w:rFonts w:hint="eastAsia" w:ascii="仿宋_GB2312" w:hAnsi="等线" w:eastAsia="仿宋_GB2312" w:cs="仿宋_GB2312"/>
                <w:sz w:val="24"/>
              </w:rPr>
            </w:pPr>
            <w:r>
              <w:rPr>
                <w:rFonts w:hint="eastAsia" w:ascii="仿宋_GB2312" w:hAnsi="等线" w:eastAsia="仿宋_GB2312" w:cs="仿宋_GB2312"/>
                <w:sz w:val="24"/>
              </w:rPr>
              <w:t>43</w:t>
            </w:r>
          </w:p>
        </w:tc>
        <w:tc>
          <w:tcPr>
            <w:tcW w:w="5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7EF27A">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全球校园人工智能算法精英大赛</w:t>
            </w:r>
          </w:p>
        </w:tc>
        <w:tc>
          <w:tcPr>
            <w:tcW w:w="86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291DFF">
            <w:pPr>
              <w:widowControl/>
              <w:spacing w:line="360" w:lineRule="exact"/>
              <w:textAlignment w:val="center"/>
              <w:rPr>
                <w:rFonts w:hint="eastAsia" w:ascii="仿宋_GB2312" w:hAnsi="等线" w:eastAsia="仿宋_GB2312" w:cs="仿宋_GB2312"/>
                <w:sz w:val="24"/>
              </w:rPr>
            </w:pPr>
            <w:r>
              <w:rPr>
                <w:rFonts w:hint="eastAsia" w:ascii="仿宋_GB2312" w:hAnsi="等线" w:eastAsia="仿宋_GB2312" w:cs="仿宋_GB2312"/>
                <w:kern w:val="0"/>
                <w:sz w:val="24"/>
              </w:rPr>
              <w:t>江苏省人工智能学会</w:t>
            </w:r>
          </w:p>
        </w:tc>
      </w:tr>
    </w:tbl>
    <w:p w14:paraId="2919AFEB">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14:ligatures w14:val="none"/>
        </w:rPr>
      </w:pPr>
    </w:p>
    <w:p w14:paraId="40C30435">
      <w:pPr>
        <w:spacing w:line="276" w:lineRule="auto"/>
        <w:rPr>
          <w:rFonts w:hint="eastAsia" w:ascii="仿宋_GB2312" w:hAnsi="宋体" w:eastAsia="仿宋_GB2312" w:cs="仿宋_GB2312"/>
          <w:sz w:val="21"/>
          <w:szCs w:val="21"/>
          <w14:ligatures w14:val="none"/>
        </w:rPr>
      </w:pPr>
    </w:p>
    <w:sectPr>
      <w:pgSz w:w="16838" w:h="11906" w:orient="landscape"/>
      <w:pgMar w:top="1417" w:right="1417" w:bottom="1701" w:left="1701" w:header="851" w:footer="992" w:gutter="0"/>
      <w:cols w:space="0" w:num="1"/>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B66211D-689C-4063-B04E-DBE19229C9B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6D17631A-59A9-4E8C-88CF-9570ED11352F}"/>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7337003C-A4BF-4E84-89E9-045765930875}"/>
  </w:font>
  <w:font w:name="方正小标宋简体">
    <w:panose1 w:val="02000000000000000000"/>
    <w:charset w:val="86"/>
    <w:family w:val="auto"/>
    <w:pitch w:val="default"/>
    <w:sig w:usb0="A00002BF" w:usb1="184F6CFA" w:usb2="00000012" w:usb3="00000000" w:csb0="00040001" w:csb1="00000000"/>
    <w:embedRegular r:id="rId4" w:fontKey="{FF1183F2-71B6-4B7C-A9CC-DC74A3D77F06}"/>
  </w:font>
  <w:font w:name="仿宋">
    <w:panose1 w:val="02010609060101010101"/>
    <w:charset w:val="86"/>
    <w:family w:val="modern"/>
    <w:pitch w:val="default"/>
    <w:sig w:usb0="800002BF" w:usb1="38CF7CFA" w:usb2="00000016" w:usb3="00000000" w:csb0="00040001" w:csb1="00000000"/>
    <w:embedRegular r:id="rId5" w:fontKey="{245ECE82-E762-41A2-B8C0-B5BA978CAD61}"/>
  </w:font>
  <w:font w:name="微软雅黑">
    <w:panose1 w:val="020B0503020204020204"/>
    <w:charset w:val="86"/>
    <w:family w:val="swiss"/>
    <w:pitch w:val="default"/>
    <w:sig w:usb0="80000287" w:usb1="2ACF3C50" w:usb2="00000016" w:usb3="00000000" w:csb0="0004001F" w:csb1="00000000"/>
    <w:embedRegular r:id="rId6" w:fontKey="{5FF00E6F-C564-40FA-A335-4489DD04D5F8}"/>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B3BE2">
    <w:pPr>
      <w:pStyle w:val="13"/>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0F67F8">
                          <w:pPr>
                            <w:pStyle w:val="13"/>
                            <w:rPr>
                              <w:rFonts w:hint="eastAsia"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C0F67F8">
                    <w:pPr>
                      <w:pStyle w:val="13"/>
                      <w:rPr>
                        <w:rFonts w:hint="eastAsia"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TrueTypeFonts/>
  <w:saveSubsetFonts/>
  <w:bordersDoNotSurroundHeader w:val="0"/>
  <w:bordersDoNotSurroundFooter w:val="0"/>
  <w:documentProtection w:enforcement="0"/>
  <w:defaultTabStop w:val="420"/>
  <w:drawingGridHorizontalSpacing w:val="110"/>
  <w:drawingGridVerticalSpacing w:val="319"/>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llMTMzNWFiNDBlZGIwMzE4OTVkNGY3NTRmMTljY2QifQ=="/>
  </w:docVars>
  <w:rsids>
    <w:rsidRoot w:val="00BA2C20"/>
    <w:rsid w:val="00011CF7"/>
    <w:rsid w:val="00054573"/>
    <w:rsid w:val="00064E8F"/>
    <w:rsid w:val="00072612"/>
    <w:rsid w:val="000C1DAB"/>
    <w:rsid w:val="00140D9F"/>
    <w:rsid w:val="00142BED"/>
    <w:rsid w:val="00165F3D"/>
    <w:rsid w:val="00174751"/>
    <w:rsid w:val="00181F21"/>
    <w:rsid w:val="001E3523"/>
    <w:rsid w:val="002431AE"/>
    <w:rsid w:val="00244E45"/>
    <w:rsid w:val="00260149"/>
    <w:rsid w:val="00290F82"/>
    <w:rsid w:val="00293A3C"/>
    <w:rsid w:val="002B7FD8"/>
    <w:rsid w:val="003200B9"/>
    <w:rsid w:val="00325AF3"/>
    <w:rsid w:val="00334855"/>
    <w:rsid w:val="0033504D"/>
    <w:rsid w:val="003B023F"/>
    <w:rsid w:val="004517FD"/>
    <w:rsid w:val="004536E6"/>
    <w:rsid w:val="0045627A"/>
    <w:rsid w:val="00461861"/>
    <w:rsid w:val="0047282D"/>
    <w:rsid w:val="004854ED"/>
    <w:rsid w:val="00486530"/>
    <w:rsid w:val="00493588"/>
    <w:rsid w:val="004A0F6F"/>
    <w:rsid w:val="004D3FD7"/>
    <w:rsid w:val="004E1514"/>
    <w:rsid w:val="00507AC9"/>
    <w:rsid w:val="00510AA3"/>
    <w:rsid w:val="00535626"/>
    <w:rsid w:val="00541628"/>
    <w:rsid w:val="00572E92"/>
    <w:rsid w:val="006356C1"/>
    <w:rsid w:val="006646B3"/>
    <w:rsid w:val="0069590E"/>
    <w:rsid w:val="006B22C3"/>
    <w:rsid w:val="006B5F7F"/>
    <w:rsid w:val="007F0747"/>
    <w:rsid w:val="008163A4"/>
    <w:rsid w:val="00827EAE"/>
    <w:rsid w:val="00866EF6"/>
    <w:rsid w:val="00874D76"/>
    <w:rsid w:val="008C7416"/>
    <w:rsid w:val="00924445"/>
    <w:rsid w:val="00927471"/>
    <w:rsid w:val="0097407E"/>
    <w:rsid w:val="009A7A10"/>
    <w:rsid w:val="009C7EFA"/>
    <w:rsid w:val="009D2A3B"/>
    <w:rsid w:val="009D3F6F"/>
    <w:rsid w:val="00A12A6F"/>
    <w:rsid w:val="00AD39B1"/>
    <w:rsid w:val="00AE0512"/>
    <w:rsid w:val="00B53835"/>
    <w:rsid w:val="00B60640"/>
    <w:rsid w:val="00B712C6"/>
    <w:rsid w:val="00B764C9"/>
    <w:rsid w:val="00B82D60"/>
    <w:rsid w:val="00B91D1E"/>
    <w:rsid w:val="00B9303E"/>
    <w:rsid w:val="00BA2C20"/>
    <w:rsid w:val="00BC18FD"/>
    <w:rsid w:val="00BC693D"/>
    <w:rsid w:val="00BD1500"/>
    <w:rsid w:val="00C6436C"/>
    <w:rsid w:val="00C91313"/>
    <w:rsid w:val="00C9445C"/>
    <w:rsid w:val="00CC6302"/>
    <w:rsid w:val="00D025E0"/>
    <w:rsid w:val="00D57127"/>
    <w:rsid w:val="00D63564"/>
    <w:rsid w:val="00DA3464"/>
    <w:rsid w:val="00DB0A87"/>
    <w:rsid w:val="00DD54C5"/>
    <w:rsid w:val="00DE3540"/>
    <w:rsid w:val="00DF49B0"/>
    <w:rsid w:val="00E02312"/>
    <w:rsid w:val="00E06B7A"/>
    <w:rsid w:val="00E340B7"/>
    <w:rsid w:val="00EC53B4"/>
    <w:rsid w:val="00EE3DEC"/>
    <w:rsid w:val="00EE7D9D"/>
    <w:rsid w:val="00F205B1"/>
    <w:rsid w:val="00F22E2F"/>
    <w:rsid w:val="00F8616B"/>
    <w:rsid w:val="00F93778"/>
    <w:rsid w:val="00FB090C"/>
    <w:rsid w:val="00FB63E0"/>
    <w:rsid w:val="03B17953"/>
    <w:rsid w:val="07727D61"/>
    <w:rsid w:val="08927CA9"/>
    <w:rsid w:val="0AA46AE2"/>
    <w:rsid w:val="0B1701D0"/>
    <w:rsid w:val="0B396A7D"/>
    <w:rsid w:val="0B8E5519"/>
    <w:rsid w:val="0BDF0980"/>
    <w:rsid w:val="0CBF3454"/>
    <w:rsid w:val="0E794CFD"/>
    <w:rsid w:val="0FBF2BE4"/>
    <w:rsid w:val="10E54DCB"/>
    <w:rsid w:val="114F447E"/>
    <w:rsid w:val="1173306A"/>
    <w:rsid w:val="1277578B"/>
    <w:rsid w:val="13553E48"/>
    <w:rsid w:val="152A515F"/>
    <w:rsid w:val="18B07A8C"/>
    <w:rsid w:val="1F5F1CED"/>
    <w:rsid w:val="1F76584A"/>
    <w:rsid w:val="1FDC333E"/>
    <w:rsid w:val="275B16C7"/>
    <w:rsid w:val="29007B8A"/>
    <w:rsid w:val="2D6E6EEA"/>
    <w:rsid w:val="2DAC227D"/>
    <w:rsid w:val="2F424F98"/>
    <w:rsid w:val="2FEC5A29"/>
    <w:rsid w:val="31FC212A"/>
    <w:rsid w:val="32892C2E"/>
    <w:rsid w:val="33A1023E"/>
    <w:rsid w:val="35BC012A"/>
    <w:rsid w:val="38E851A3"/>
    <w:rsid w:val="38EE6A55"/>
    <w:rsid w:val="3AA65E47"/>
    <w:rsid w:val="3B316401"/>
    <w:rsid w:val="3D9904A8"/>
    <w:rsid w:val="3E636CAD"/>
    <w:rsid w:val="41CD3F26"/>
    <w:rsid w:val="420F3F6D"/>
    <w:rsid w:val="444A72F0"/>
    <w:rsid w:val="45F05373"/>
    <w:rsid w:val="4AE72A13"/>
    <w:rsid w:val="4CD80866"/>
    <w:rsid w:val="4DBE05F0"/>
    <w:rsid w:val="4ED33600"/>
    <w:rsid w:val="50862A20"/>
    <w:rsid w:val="536161BB"/>
    <w:rsid w:val="549E6F65"/>
    <w:rsid w:val="550C5304"/>
    <w:rsid w:val="57510A69"/>
    <w:rsid w:val="5B3F5F54"/>
    <w:rsid w:val="5C9B50B5"/>
    <w:rsid w:val="5CF07506"/>
    <w:rsid w:val="5E762FB6"/>
    <w:rsid w:val="5EB44455"/>
    <w:rsid w:val="5F7741D1"/>
    <w:rsid w:val="60903FC2"/>
    <w:rsid w:val="622E63D0"/>
    <w:rsid w:val="65953340"/>
    <w:rsid w:val="666F2735"/>
    <w:rsid w:val="67057615"/>
    <w:rsid w:val="69D30FAF"/>
    <w:rsid w:val="6B07083C"/>
    <w:rsid w:val="6C9C29CE"/>
    <w:rsid w:val="6D1C4347"/>
    <w:rsid w:val="6D8D0DA1"/>
    <w:rsid w:val="71A84E6E"/>
    <w:rsid w:val="765D3A06"/>
    <w:rsid w:val="77E017FF"/>
    <w:rsid w:val="78407C0F"/>
    <w:rsid w:val="7908294B"/>
    <w:rsid w:val="79084BE7"/>
    <w:rsid w:val="79E26883"/>
    <w:rsid w:val="7BEB3C37"/>
    <w:rsid w:val="7E264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6"/>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style>
  <w:style w:type="paragraph" w:styleId="12">
    <w:name w:val="Body Text"/>
    <w:basedOn w:val="1"/>
    <w:link w:val="39"/>
    <w:semiHidden/>
    <w:qFormat/>
    <w:uiPriority w:val="0"/>
    <w:pPr>
      <w:widowControl/>
      <w:kinsoku w:val="0"/>
      <w:autoSpaceDE w:val="0"/>
      <w:autoSpaceDN w:val="0"/>
      <w:adjustRightInd w:val="0"/>
      <w:snapToGrid w:val="0"/>
      <w:spacing w:after="0" w:line="240" w:lineRule="auto"/>
      <w:textAlignment w:val="baseline"/>
    </w:pPr>
    <w:rPr>
      <w:rFonts w:ascii="仿宋_GB2312" w:hAnsi="仿宋_GB2312" w:eastAsia="仿宋_GB2312" w:cs="仿宋_GB2312"/>
      <w:snapToGrid w:val="0"/>
      <w:color w:val="000000"/>
      <w:kern w:val="0"/>
      <w:sz w:val="31"/>
      <w:szCs w:val="31"/>
      <w:lang w:eastAsia="en-US"/>
      <w14:ligatures w14:val="none"/>
    </w:rPr>
  </w:style>
  <w:style w:type="paragraph" w:styleId="13">
    <w:name w:val="footer"/>
    <w:basedOn w:val="1"/>
    <w:link w:val="43"/>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42"/>
    <w:unhideWhenUsed/>
    <w:qFormat/>
    <w:uiPriority w:val="99"/>
    <w:pPr>
      <w:tabs>
        <w:tab w:val="center" w:pos="4153"/>
        <w:tab w:val="right" w:pos="8306"/>
      </w:tabs>
      <w:snapToGrid w:val="0"/>
      <w:spacing w:line="240" w:lineRule="auto"/>
      <w:jc w:val="center"/>
    </w:pPr>
    <w:rPr>
      <w:sz w:val="18"/>
      <w:szCs w:val="18"/>
    </w:rPr>
  </w:style>
  <w:style w:type="paragraph" w:styleId="15">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30"/>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8">
    <w:name w:val="Table Grid"/>
    <w:basedOn w:val="1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rPr>
  </w:style>
  <w:style w:type="character" w:customStyle="1" w:styleId="21">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9"/>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9"/>
    <w:link w:val="5"/>
    <w:semiHidden/>
    <w:qFormat/>
    <w:uiPriority w:val="9"/>
    <w:rPr>
      <w:rFonts w:cstheme="majorBidi"/>
      <w:color w:val="104862" w:themeColor="accent1" w:themeShade="BF"/>
      <w:sz w:val="28"/>
      <w:szCs w:val="28"/>
    </w:rPr>
  </w:style>
  <w:style w:type="character" w:customStyle="1" w:styleId="25">
    <w:name w:val="标题 5 字符"/>
    <w:basedOn w:val="19"/>
    <w:link w:val="6"/>
    <w:semiHidden/>
    <w:qFormat/>
    <w:uiPriority w:val="9"/>
    <w:rPr>
      <w:rFonts w:cstheme="majorBidi"/>
      <w:color w:val="104862" w:themeColor="accent1" w:themeShade="BF"/>
      <w:sz w:val="24"/>
    </w:rPr>
  </w:style>
  <w:style w:type="character" w:customStyle="1" w:styleId="26">
    <w:name w:val="标题 6 字符"/>
    <w:basedOn w:val="19"/>
    <w:link w:val="7"/>
    <w:semiHidden/>
    <w:qFormat/>
    <w:uiPriority w:val="9"/>
    <w:rPr>
      <w:rFonts w:cstheme="majorBidi"/>
      <w:b/>
      <w:bCs/>
      <w:color w:val="104862" w:themeColor="accent1" w:themeShade="BF"/>
    </w:rPr>
  </w:style>
  <w:style w:type="character" w:customStyle="1" w:styleId="27">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19"/>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9"/>
    <w:link w:val="36"/>
    <w:qFormat/>
    <w:uiPriority w:val="30"/>
    <w:rPr>
      <w:i/>
      <w:iCs/>
      <w:color w:val="104862" w:themeColor="accent1" w:themeShade="BF"/>
    </w:rPr>
  </w:style>
  <w:style w:type="character" w:customStyle="1" w:styleId="38">
    <w:name w:val="明显参考1"/>
    <w:basedOn w:val="19"/>
    <w:qFormat/>
    <w:uiPriority w:val="32"/>
    <w:rPr>
      <w:b/>
      <w:bCs/>
      <w:smallCaps/>
      <w:color w:val="104862" w:themeColor="accent1" w:themeShade="BF"/>
      <w:spacing w:val="5"/>
    </w:rPr>
  </w:style>
  <w:style w:type="character" w:customStyle="1" w:styleId="39">
    <w:name w:val="正文文本 字符"/>
    <w:basedOn w:val="19"/>
    <w:link w:val="12"/>
    <w:semiHidden/>
    <w:qFormat/>
    <w:uiPriority w:val="0"/>
    <w:rPr>
      <w:rFonts w:ascii="仿宋_GB2312" w:hAnsi="仿宋_GB2312" w:eastAsia="仿宋_GB2312" w:cs="仿宋_GB2312"/>
      <w:snapToGrid w:val="0"/>
      <w:color w:val="000000"/>
      <w:kern w:val="0"/>
      <w:sz w:val="31"/>
      <w:szCs w:val="31"/>
      <w:lang w:eastAsia="en-US"/>
      <w14:ligatures w14:val="none"/>
    </w:rPr>
  </w:style>
  <w:style w:type="table" w:customStyle="1" w:styleId="40">
    <w:name w:val="Table Normal"/>
    <w:semiHidden/>
    <w:unhideWhenUsed/>
    <w:qFormat/>
    <w:uiPriority w:val="0"/>
    <w:rPr>
      <w:rFonts w:ascii="Arial" w:hAnsi="Arial" w:cs="Arial"/>
    </w:rPr>
    <w:tblPr>
      <w:tblCellMar>
        <w:top w:w="0" w:type="dxa"/>
        <w:left w:w="0" w:type="dxa"/>
        <w:bottom w:w="0" w:type="dxa"/>
        <w:right w:w="0" w:type="dxa"/>
      </w:tblCellMar>
    </w:tblPr>
  </w:style>
  <w:style w:type="paragraph" w:customStyle="1" w:styleId="41">
    <w:name w:val="Table Text"/>
    <w:basedOn w:val="1"/>
    <w:semiHidden/>
    <w:qFormat/>
    <w:uiPriority w:val="0"/>
    <w:pPr>
      <w:widowControl/>
      <w:kinsoku w:val="0"/>
      <w:autoSpaceDE w:val="0"/>
      <w:autoSpaceDN w:val="0"/>
      <w:adjustRightInd w:val="0"/>
      <w:snapToGrid w:val="0"/>
      <w:spacing w:after="0" w:line="240" w:lineRule="auto"/>
      <w:textAlignment w:val="baseline"/>
    </w:pPr>
    <w:rPr>
      <w:rFonts w:ascii="仿宋_GB2312" w:hAnsi="仿宋_GB2312" w:eastAsia="仿宋_GB2312" w:cs="仿宋_GB2312"/>
      <w:snapToGrid w:val="0"/>
      <w:color w:val="000000"/>
      <w:kern w:val="0"/>
      <w:sz w:val="24"/>
      <w:lang w:eastAsia="en-US"/>
      <w14:ligatures w14:val="none"/>
    </w:rPr>
  </w:style>
  <w:style w:type="character" w:customStyle="1" w:styleId="42">
    <w:name w:val="页眉 字符"/>
    <w:basedOn w:val="19"/>
    <w:link w:val="14"/>
    <w:qFormat/>
    <w:uiPriority w:val="99"/>
    <w:rPr>
      <w:sz w:val="18"/>
      <w:szCs w:val="18"/>
    </w:rPr>
  </w:style>
  <w:style w:type="character" w:customStyle="1" w:styleId="43">
    <w:name w:val="页脚 字符"/>
    <w:basedOn w:val="19"/>
    <w:link w:val="13"/>
    <w:qFormat/>
    <w:uiPriority w:val="99"/>
    <w:rPr>
      <w:sz w:val="18"/>
      <w:szCs w:val="18"/>
    </w:rPr>
  </w:style>
  <w:style w:type="paragraph" w:customStyle="1" w:styleId="44">
    <w:name w:val="修订1"/>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5">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2.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6440</Words>
  <Characters>6561</Characters>
  <Lines>68</Lines>
  <Paragraphs>19</Paragraphs>
  <TotalTime>5</TotalTime>
  <ScaleCrop>false</ScaleCrop>
  <LinksUpToDate>false</LinksUpToDate>
  <CharactersWithSpaces>6572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2025-08-11T14:24:00Z</dcterms:created>
  <dc:creator>乐乐 秦</dc:creator>
  <cp:lastModifiedBy>李敏</cp:lastModifiedBy>
  <cp:lastPrinted>2025-09-02T09:48:31Z</cp:lastPrinted>
  <dcterms:modified xsi:type="dcterms:W3CDTF">2025-09-02T10:19:42Z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eyJoZGlkIjoiM2M1ZTBiYTAwMThkYTkwNDcyNTk2MGU0NGFhMDVmNjQiLCJ1c2VySWQiOiI2MjE4NTMxMjkifQ==</vt:lpwstr>
  </property>
  <property fmtid="{D5CDD505-2E9C-101B-9397-08002B2CF9AE}" pid="3" name="KSOProductBuildVer">
    <vt:lpwstr>2052-12.1.0.21915</vt:lpwstr>
  </property>
  <property fmtid="{D5CDD505-2E9C-101B-9397-08002B2CF9AE}" pid="4" name="ICV">
    <vt:lpwstr>12B8ECE199374A6481D8ADDC52EB342D_13</vt:lpwstr>
  </property>
</Properties>
</file>