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会计学院2025年推荐优秀应届本科毕业生 免试攻读硕士研究生工作实施细则</w:t>
      </w:r>
    </w:p>
    <w:p>
      <w:pPr>
        <w:spacing w:after="80" w:lineRule="auto" w:line="360"/>
        <w:ind w:firstLine="482"/>
        <w:jc w:val="both"/>
      </w:pPr>
      <w:r>
        <w:rPr>
          <w:rFonts w:ascii="Times New Roman" w:hAnsi="Times New Roman" w:eastAsia="宋体"/>
          <w:b w:val="0"/>
          <w:sz w:val="24"/>
        </w:rPr>
        <w:t>会计学院2025年推荐优秀应届本科毕业生免试攻读硕士研究生工作实施细则</w:t>
      </w:r>
    </w:p>
    <w:p>
      <w:pPr>
        <w:spacing w:after="80" w:lineRule="auto" w:line="360"/>
        <w:ind w:firstLine="482"/>
        <w:jc w:val="both"/>
      </w:pPr>
      <w:r>
        <w:rPr>
          <w:rFonts w:ascii="Times New Roman" w:hAnsi="Times New Roman" w:eastAsia="宋体"/>
          <w:b w:val="0"/>
          <w:sz w:val="24"/>
        </w:rPr>
        <w:t>发布日期（推定）：2025年9月4日</w:t>
      </w:r>
    </w:p>
    <w:p>
      <w:pPr>
        <w:spacing w:after="80" w:lineRule="auto" w:line="360"/>
        <w:ind w:firstLine="482"/>
        <w:jc w:val="both"/>
      </w:pPr>
      <w:r>
        <w:rPr>
          <w:rFonts w:ascii="Times New Roman" w:hAnsi="Times New Roman" w:eastAsia="宋体"/>
          <w:b w:val="0"/>
          <w:sz w:val="24"/>
        </w:rPr>
        <w:t>为做好我院推荐优秀本科毕业生免试攻读硕士研究生（以下简称推免生）遴选工作，根据《北京物资学院推荐优秀应届本科毕业生免试攻读硕士研究生工作实施办法》（物院发〔2025〕32号）（以下简称实施办法）确定的原则，结合我院实际情况，特制定本细则。</w:t>
      </w:r>
    </w:p>
    <w:p>
      <w:pPr>
        <w:spacing w:before="160" w:after="80" w:lineRule="auto" w:line="360"/>
        <w:jc w:val="left"/>
      </w:pPr>
      <w:r>
        <w:rPr>
          <w:rFonts w:ascii="Times New Roman" w:hAnsi="Times New Roman" w:eastAsia="宋体"/>
          <w:b/>
          <w:sz w:val="28"/>
        </w:rPr>
        <w:t>一、工作原则</w:t>
      </w:r>
    </w:p>
    <w:p>
      <w:pPr>
        <w:spacing w:after="80" w:lineRule="auto" w:line="360"/>
        <w:ind w:firstLine="482"/>
        <w:jc w:val="both"/>
      </w:pPr>
      <w:r>
        <w:rPr>
          <w:rFonts w:ascii="Times New Roman" w:hAnsi="Times New Roman" w:eastAsia="宋体"/>
          <w:b w:val="0"/>
          <w:sz w:val="24"/>
        </w:rPr>
        <w:t>学院推免工作遵循公开、公平、公正的原则，坚持德智体美劳全面衡量，以德为先，把学生思想品德考核作为推免遴选的重要依据。加强对学生本科阶段学习情况的过程性评价，将本科阶段学业综合成绩作为推免工作最基础的遴选指标，同时对被推荐学生的综合素质、科研成果和竞赛获奖情况进行考查。</w:t>
      </w:r>
    </w:p>
    <w:p>
      <w:pPr>
        <w:spacing w:before="160" w:after="80" w:lineRule="auto" w:line="360"/>
        <w:jc w:val="left"/>
      </w:pPr>
      <w:r>
        <w:rPr>
          <w:rFonts w:ascii="Times New Roman" w:hAnsi="Times New Roman" w:eastAsia="宋体"/>
          <w:b/>
          <w:sz w:val="28"/>
        </w:rPr>
        <w:t>二、工作机构</w:t>
      </w:r>
    </w:p>
    <w:p>
      <w:pPr>
        <w:spacing w:after="80" w:lineRule="auto" w:line="360"/>
        <w:ind w:firstLine="482"/>
        <w:jc w:val="both"/>
      </w:pPr>
      <w:r>
        <w:rPr>
          <w:rFonts w:ascii="Times New Roman" w:hAnsi="Times New Roman" w:eastAsia="宋体"/>
          <w:b w:val="0"/>
          <w:sz w:val="24"/>
        </w:rPr>
        <w:t>1. 学院成立推免工作小组，组长由学院党政主要领导担任，组员包括院领导、系（教研室）主任、教师代表等。推免工作小组按照学校推免管理办法等相关要求，负责制定本学院推免工作实施细则（包括学院工作组名单、推免名额分配方案、推荐名单和递补名单产生规则、工作时间安排等主要内容），具体组织实施推免遴选工作，提出拟推荐名单，对相关学生申诉和投诉情况进行调查、核实、处理等。</w:t>
      </w:r>
    </w:p>
    <w:p>
      <w:pPr>
        <w:spacing w:after="80" w:lineRule="auto" w:line="360"/>
        <w:ind w:firstLine="482"/>
        <w:jc w:val="both"/>
      </w:pPr>
      <w:r>
        <w:rPr>
          <w:rFonts w:ascii="Times New Roman" w:hAnsi="Times New Roman" w:eastAsia="宋体"/>
          <w:b w:val="0"/>
          <w:sz w:val="24"/>
        </w:rPr>
        <w:t>2025年推免工作小组人员构成：</w:t>
      </w:r>
    </w:p>
    <w:p>
      <w:pPr>
        <w:spacing w:after="80" w:lineRule="auto" w:line="360"/>
        <w:ind w:firstLine="482"/>
        <w:jc w:val="both"/>
      </w:pPr>
      <w:r>
        <w:rPr>
          <w:rFonts w:ascii="Times New Roman" w:hAnsi="Times New Roman" w:eastAsia="宋体"/>
          <w:b w:val="0"/>
          <w:sz w:val="24"/>
        </w:rPr>
        <w:t>组 长：刘艳荣、张军</w:t>
      </w:r>
    </w:p>
    <w:p>
      <w:pPr>
        <w:spacing w:after="80" w:lineRule="auto" w:line="360"/>
        <w:ind w:firstLine="482"/>
        <w:jc w:val="both"/>
      </w:pPr>
      <w:r>
        <w:rPr>
          <w:rFonts w:ascii="Times New Roman" w:hAnsi="Times New Roman" w:eastAsia="宋体"/>
          <w:b w:val="0"/>
          <w:sz w:val="24"/>
        </w:rPr>
        <w:t>副组长：赵妍</w:t>
      </w:r>
    </w:p>
    <w:p>
      <w:pPr>
        <w:spacing w:after="80" w:lineRule="auto" w:line="360"/>
        <w:ind w:firstLine="482"/>
        <w:jc w:val="both"/>
      </w:pPr>
      <w:r>
        <w:rPr>
          <w:rFonts w:ascii="Times New Roman" w:hAnsi="Times New Roman" w:eastAsia="宋体"/>
          <w:b w:val="0"/>
          <w:sz w:val="24"/>
        </w:rPr>
        <w:t>成 员：王美英、鲁楠、杨超、邹燕、陈晓梅</w:t>
      </w:r>
    </w:p>
    <w:p>
      <w:pPr>
        <w:spacing w:after="80" w:lineRule="auto" w:line="360"/>
        <w:ind w:firstLine="482"/>
        <w:jc w:val="both"/>
      </w:pPr>
      <w:r>
        <w:rPr>
          <w:rFonts w:ascii="Times New Roman" w:hAnsi="Times New Roman" w:eastAsia="宋体"/>
          <w:b w:val="0"/>
          <w:sz w:val="24"/>
        </w:rPr>
        <w:t>2. 学院推免工作小组下设专门的推免材料审核专家组，对申请推免资格学生的科研成果、竞赛获奖等成果进行审核鉴定并组织答辩。</w:t>
      </w:r>
    </w:p>
    <w:p>
      <w:pPr>
        <w:spacing w:after="80" w:lineRule="auto" w:line="360"/>
        <w:ind w:firstLine="482"/>
        <w:jc w:val="both"/>
      </w:pPr>
      <w:r>
        <w:rPr>
          <w:rFonts w:ascii="Times New Roman" w:hAnsi="Times New Roman" w:eastAsia="宋体"/>
          <w:b w:val="0"/>
          <w:sz w:val="24"/>
        </w:rPr>
        <w:t>2025年推免材料审核专家组人员构成：</w:t>
      </w:r>
    </w:p>
    <w:p>
      <w:pPr>
        <w:spacing w:after="80" w:lineRule="auto" w:line="360"/>
        <w:ind w:firstLine="482"/>
        <w:jc w:val="both"/>
      </w:pPr>
      <w:r>
        <w:rPr>
          <w:rFonts w:ascii="Times New Roman" w:hAnsi="Times New Roman" w:eastAsia="宋体"/>
          <w:b w:val="0"/>
          <w:sz w:val="24"/>
        </w:rPr>
        <w:t>组 长：赵妍</w:t>
      </w:r>
    </w:p>
    <w:p>
      <w:pPr>
        <w:spacing w:after="80" w:lineRule="auto" w:line="360"/>
        <w:ind w:firstLine="482"/>
        <w:jc w:val="both"/>
      </w:pPr>
      <w:r>
        <w:rPr>
          <w:rFonts w:ascii="Times New Roman" w:hAnsi="Times New Roman" w:eastAsia="宋体"/>
          <w:b w:val="0"/>
          <w:sz w:val="24"/>
        </w:rPr>
        <w:t>成 员：杨超、邹燕、董丽萍、陈晓梅</w:t>
      </w:r>
    </w:p>
    <w:p>
      <w:pPr>
        <w:spacing w:after="80" w:lineRule="auto" w:line="360"/>
        <w:ind w:firstLine="482"/>
        <w:jc w:val="both"/>
      </w:pPr>
      <w:r>
        <w:rPr>
          <w:rFonts w:ascii="Times New Roman" w:hAnsi="Times New Roman" w:eastAsia="宋体"/>
          <w:b w:val="0"/>
          <w:sz w:val="24"/>
        </w:rPr>
        <w:t>秘 书：夏光华、李媛</w:t>
      </w:r>
    </w:p>
    <w:p>
      <w:pPr>
        <w:spacing w:after="80" w:lineRule="auto" w:line="360"/>
        <w:ind w:firstLine="482"/>
        <w:jc w:val="both"/>
      </w:pPr>
      <w:r>
        <w:rPr>
          <w:rFonts w:ascii="Times New Roman" w:hAnsi="Times New Roman" w:eastAsia="宋体"/>
          <w:b w:val="0"/>
          <w:sz w:val="24"/>
        </w:rPr>
        <w:t>3. 学院纪检委员对推免工作进行全程监督。</w:t>
      </w:r>
    </w:p>
    <w:p>
      <w:pPr>
        <w:spacing w:before="160" w:after="80" w:lineRule="auto" w:line="360"/>
        <w:jc w:val="left"/>
      </w:pPr>
      <w:r>
        <w:rPr>
          <w:rFonts w:ascii="Times New Roman" w:hAnsi="Times New Roman" w:eastAsia="宋体"/>
          <w:b/>
          <w:sz w:val="28"/>
        </w:rPr>
        <w:t>三、推免范围及名额分配</w:t>
      </w:r>
    </w:p>
    <w:p>
      <w:pPr>
        <w:spacing w:after="80" w:lineRule="auto" w:line="360"/>
        <w:ind w:firstLine="482"/>
        <w:jc w:val="both"/>
      </w:pPr>
      <w:r>
        <w:rPr>
          <w:rFonts w:ascii="Times New Roman" w:hAnsi="Times New Roman" w:eastAsia="宋体"/>
          <w:b w:val="0"/>
          <w:sz w:val="24"/>
        </w:rPr>
        <w:t>符合《实施办法》第十条的学生有资格参加推荐免试攻读硕士学位研究生。</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N梯队</w:t>
            </w:r>
          </w:p>
        </w:tc>
        <w:tc>
          <w:tcPr>
            <w:tcW w:type="dxa" w:w="2158"/>
          </w:tcPr>
          <w:p>
            <w:pPr>
              <w:spacing w:after="20" w:before="20"/>
            </w:pPr>
            <w:r/>
            <w:r>
              <w:rPr>
                <w:rFonts w:ascii="Times New Roman" w:hAnsi="Times New Roman" w:eastAsia="宋体"/>
                <w:b/>
                <w:sz w:val="21"/>
              </w:rPr>
              <w:t>划分专业方向</w:t>
            </w:r>
          </w:p>
        </w:tc>
        <w:tc>
          <w:tcPr>
            <w:tcW w:type="dxa" w:w="2158"/>
          </w:tcPr>
          <w:p>
            <w:pPr>
              <w:spacing w:after="20" w:before="20"/>
            </w:pPr>
            <w:r/>
            <w:r>
              <w:rPr>
                <w:rFonts w:ascii="Times New Roman" w:hAnsi="Times New Roman" w:eastAsia="宋体"/>
                <w:b/>
                <w:sz w:val="21"/>
              </w:rPr>
              <w:t>专业方向</w:t>
            </w:r>
          </w:p>
        </w:tc>
        <w:tc>
          <w:tcPr>
            <w:tcW w:type="dxa" w:w="2158"/>
          </w:tcPr>
          <w:p>
            <w:pPr>
              <w:spacing w:after="20" w:before="20"/>
            </w:pPr>
            <w:r/>
            <w:r>
              <w:rPr>
                <w:rFonts w:ascii="Times New Roman" w:hAnsi="Times New Roman" w:eastAsia="宋体"/>
                <w:b/>
                <w:sz w:val="21"/>
              </w:rPr>
              <w:t>排名专业内推荐排序</w:t>
            </w:r>
          </w:p>
        </w:tc>
      </w:tr>
      <w:tr>
        <w:tc>
          <w:tcPr>
            <w:tcW w:type="dxa" w:w="2158"/>
          </w:tcPr>
          <w:p>
            <w:pPr>
              <w:spacing w:after="20" w:before="20"/>
            </w:pPr>
            <w:r/>
            <w:r>
              <w:rPr>
                <w:rFonts w:ascii="Times New Roman" w:hAnsi="Times New Roman" w:eastAsia="宋体"/>
                <w:b w:val="0"/>
                <w:sz w:val="21"/>
              </w:rPr>
              <w:t>第一梯队</w:t>
            </w:r>
          </w:p>
        </w:tc>
        <w:tc>
          <w:tcPr>
            <w:tcW w:type="dxa" w:w="2158"/>
          </w:tcPr>
          <w:p>
            <w:pPr>
              <w:spacing w:after="20" w:before="20"/>
            </w:pPr>
            <w:r/>
            <w:r>
              <w:rPr>
                <w:rFonts w:ascii="Times New Roman" w:hAnsi="Times New Roman" w:eastAsia="宋体"/>
                <w:b w:val="0"/>
                <w:sz w:val="21"/>
              </w:rPr>
              <w:t>会计学（注册会计师）</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1. 每个梯队内的排名顺序由各专业类修读共同课程计算加权平均分（计算结果保留小数点后两位并且四舍五入）所得，若出现成绩并列的情况，则以GPA高者优先。 2.最终产生 专业类内推荐排序第1名，第2名，第3名。</w:t>
            </w:r>
          </w:p>
        </w:tc>
      </w:tr>
      <w:tr>
        <w:tc>
          <w:tcPr>
            <w:tcW w:type="dxa" w:w="2158"/>
          </w:tcPr>
          <w:p>
            <w:pPr>
              <w:spacing w:after="20" w:before="20"/>
            </w:pPr>
            <w:r/>
            <w:r>
              <w:rPr>
                <w:rFonts w:ascii="Times New Roman" w:hAnsi="Times New Roman" w:eastAsia="宋体"/>
                <w:b w:val="0"/>
                <w:sz w:val="21"/>
              </w:rPr>
              <w:t>第一梯队</w:t>
            </w:r>
          </w:p>
        </w:tc>
        <w:tc>
          <w:tcPr>
            <w:tcW w:type="dxa" w:w="2158"/>
          </w:tcPr>
          <w:p>
            <w:pPr>
              <w:spacing w:after="20" w:before="20"/>
            </w:pPr>
            <w:r/>
            <w:r>
              <w:rPr>
                <w:rFonts w:ascii="Times New Roman" w:hAnsi="Times New Roman" w:eastAsia="宋体"/>
                <w:b w:val="0"/>
                <w:sz w:val="21"/>
              </w:rPr>
              <w:t>会计学（智能会计）</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1. 每个梯队内的排名顺序由各专业类修读共同课程计算加权平均分（计算结果保留小数点后两位并且四舍五入）所得，若出现成绩并列的情况，则以GPA高者优先。 2.最终产生 专业类内推荐排序第1名，第2名，第3名。</w:t>
            </w:r>
          </w:p>
        </w:tc>
      </w:tr>
      <w:tr>
        <w:tc>
          <w:tcPr>
            <w:tcW w:type="dxa" w:w="2158"/>
          </w:tcPr>
          <w:p>
            <w:pPr>
              <w:spacing w:after="20" w:before="20"/>
            </w:pPr>
            <w:r/>
            <w:r>
              <w:rPr>
                <w:rFonts w:ascii="Times New Roman" w:hAnsi="Times New Roman" w:eastAsia="宋体"/>
                <w:b w:val="0"/>
                <w:sz w:val="21"/>
              </w:rPr>
              <w:t>第一梯队</w:t>
            </w:r>
          </w:p>
        </w:tc>
        <w:tc>
          <w:tcPr>
            <w:tcW w:type="dxa" w:w="2158"/>
          </w:tcPr>
          <w:p>
            <w:pPr>
              <w:spacing w:after="20" w:before="20"/>
            </w:pPr>
            <w:r/>
            <w:r>
              <w:rPr>
                <w:rFonts w:ascii="Times New Roman" w:hAnsi="Times New Roman" w:eastAsia="宋体"/>
                <w:b w:val="0"/>
                <w:sz w:val="21"/>
              </w:rPr>
              <w:t>会计学（ACCA）</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1. 每个梯队内的排名顺序由各专业类修读共同课程计算加权平均分（计算结果保留小数点后两位并且四舍五入）所得，若出现成绩并列的情况，则以GPA高者优先。 2.最终产生 专业类内推荐排序第1名，第2名，第3名。</w:t>
            </w:r>
          </w:p>
        </w:tc>
      </w:tr>
      <w:tr>
        <w:tc>
          <w:tcPr>
            <w:tcW w:type="dxa" w:w="2158"/>
          </w:tcPr>
          <w:p>
            <w:pPr>
              <w:spacing w:after="20" w:before="20"/>
            </w:pPr>
            <w:r/>
            <w:r>
              <w:rPr>
                <w:rFonts w:ascii="Times New Roman" w:hAnsi="Times New Roman" w:eastAsia="宋体"/>
                <w:b w:val="0"/>
                <w:sz w:val="21"/>
              </w:rPr>
              <w:t>第二梯队</w:t>
            </w:r>
          </w:p>
        </w:tc>
        <w:tc>
          <w:tcPr>
            <w:tcW w:type="dxa" w:w="2158"/>
          </w:tcPr>
          <w:p>
            <w:pPr>
              <w:spacing w:after="20" w:before="20"/>
            </w:pPr>
            <w:r/>
            <w:r>
              <w:rPr>
                <w:rFonts w:ascii="Times New Roman" w:hAnsi="Times New Roman" w:eastAsia="宋体"/>
                <w:b w:val="0"/>
                <w:sz w:val="21"/>
              </w:rPr>
              <w:t>会计学（注册会计师）</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1.每个梯队内的排名顺序由各专业类修读共同课程计算加权平均分（计算结果保留小数点后两位并且四舍五入）所得，若出现成绩并列的情况，则以GPA高者优先。 2.最终产生专业类内推荐排序第4名，第5名，第6名。</w:t>
            </w:r>
          </w:p>
        </w:tc>
      </w:tr>
      <w:tr>
        <w:tc>
          <w:tcPr>
            <w:tcW w:type="dxa" w:w="2158"/>
          </w:tcPr>
          <w:p>
            <w:pPr>
              <w:spacing w:after="20" w:before="20"/>
            </w:pPr>
            <w:r/>
            <w:r>
              <w:rPr>
                <w:rFonts w:ascii="Times New Roman" w:hAnsi="Times New Roman" w:eastAsia="宋体"/>
                <w:b w:val="0"/>
                <w:sz w:val="21"/>
              </w:rPr>
              <w:t>第二梯队</w:t>
            </w:r>
          </w:p>
        </w:tc>
        <w:tc>
          <w:tcPr>
            <w:tcW w:type="dxa" w:w="2158"/>
          </w:tcPr>
          <w:p>
            <w:pPr>
              <w:spacing w:after="20" w:before="20"/>
            </w:pPr>
            <w:r/>
            <w:r>
              <w:rPr>
                <w:rFonts w:ascii="Times New Roman" w:hAnsi="Times New Roman" w:eastAsia="宋体"/>
                <w:b w:val="0"/>
                <w:sz w:val="21"/>
              </w:rPr>
              <w:t>会计学（智能会计）</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1.每个梯队内的排名顺序由各专业类修读共同课程计算加权平均分（计算结果保留小数点后两位并且四舍五入）所得，若出现成绩并列的情况，则以GPA高者优先。 2.最终产生专业类内推荐排序第4名，第5名，第6名。</w:t>
            </w:r>
          </w:p>
        </w:tc>
      </w:tr>
      <w:tr>
        <w:tc>
          <w:tcPr>
            <w:tcW w:type="dxa" w:w="2158"/>
          </w:tcPr>
          <w:p>
            <w:pPr>
              <w:spacing w:after="20" w:before="20"/>
            </w:pPr>
            <w:r/>
            <w:r>
              <w:rPr>
                <w:rFonts w:ascii="Times New Roman" w:hAnsi="Times New Roman" w:eastAsia="宋体"/>
                <w:b w:val="0"/>
                <w:sz w:val="21"/>
              </w:rPr>
              <w:t>第二梯队</w:t>
            </w:r>
          </w:p>
        </w:tc>
        <w:tc>
          <w:tcPr>
            <w:tcW w:type="dxa" w:w="2158"/>
          </w:tcPr>
          <w:p>
            <w:pPr>
              <w:spacing w:after="20" w:before="20"/>
            </w:pPr>
            <w:r/>
            <w:r>
              <w:rPr>
                <w:rFonts w:ascii="Times New Roman" w:hAnsi="Times New Roman" w:eastAsia="宋体"/>
                <w:b w:val="0"/>
                <w:sz w:val="21"/>
              </w:rPr>
              <w:t>会计学（ACCA）</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1.每个梯队内的排名顺序由各专业类修读共同课程计算加权平均分（计算结果保留小数点后两位并且四舍五入）所得，若出现成绩并列的情况，则以GPA高者优先。 2.最终产生专业类内推荐排序第4名，第5名，第6名。</w:t>
            </w:r>
          </w:p>
        </w:tc>
      </w:tr>
      <w:tr>
        <w:tc>
          <w:tcPr>
            <w:tcW w:type="dxa" w:w="2158"/>
          </w:tcPr>
          <w:p>
            <w:pPr>
              <w:spacing w:after="20" w:before="20"/>
            </w:pPr>
            <w:r/>
            <w:r>
              <w:rPr>
                <w:rFonts w:ascii="Times New Roman" w:hAnsi="Times New Roman" w:eastAsia="宋体"/>
                <w:b w:val="0"/>
                <w:sz w:val="21"/>
              </w:rPr>
              <w:t>……</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第N梯队</w:t>
            </w:r>
          </w:p>
        </w:tc>
        <w:tc>
          <w:tcPr>
            <w:tcW w:type="dxa" w:w="2158"/>
          </w:tcPr>
          <w:p>
            <w:pPr>
              <w:spacing w:after="20" w:before="20"/>
            </w:pPr>
            <w:r/>
            <w:r>
              <w:rPr>
                <w:rFonts w:ascii="Times New Roman" w:hAnsi="Times New Roman" w:eastAsia="宋体"/>
                <w:b w:val="0"/>
                <w:sz w:val="21"/>
              </w:rPr>
              <w:t>会计学（注册会计师）</w:t>
            </w:r>
          </w:p>
        </w:tc>
        <w:tc>
          <w:tcPr>
            <w:tcW w:type="dxa" w:w="2158"/>
          </w:tcPr>
          <w:p>
            <w:pPr>
              <w:spacing w:after="20" w:before="20"/>
            </w:pPr>
            <w:r/>
            <w:r>
              <w:rPr>
                <w:rFonts w:ascii="Times New Roman" w:hAnsi="Times New Roman" w:eastAsia="宋体"/>
                <w:b w:val="0"/>
                <w:sz w:val="21"/>
              </w:rPr>
              <w:t>N</w:t>
            </w:r>
          </w:p>
        </w:tc>
        <w:tc>
          <w:tcPr>
            <w:tcW w:type="dxa" w:w="2158"/>
          </w:tcPr>
          <w:p>
            <w:pPr>
              <w:spacing w:after="20" w:before="20"/>
            </w:pPr>
            <w:r/>
            <w:r>
              <w:rPr>
                <w:rFonts w:ascii="Times New Roman" w:hAnsi="Times New Roman" w:eastAsia="宋体"/>
                <w:b w:val="0"/>
                <w:sz w:val="21"/>
              </w:rPr>
              <w:t>最终产生专业类内推荐排序第3N-2名，第3N-1名，第3N名。</w:t>
            </w:r>
          </w:p>
        </w:tc>
      </w:tr>
      <w:tr>
        <w:tc>
          <w:tcPr>
            <w:tcW w:type="dxa" w:w="2158"/>
          </w:tcPr>
          <w:p>
            <w:pPr>
              <w:spacing w:after="20" w:before="20"/>
            </w:pPr>
            <w:r/>
            <w:r>
              <w:rPr>
                <w:rFonts w:ascii="Times New Roman" w:hAnsi="Times New Roman" w:eastAsia="宋体"/>
                <w:b w:val="0"/>
                <w:sz w:val="21"/>
              </w:rPr>
              <w:t>第N梯队</w:t>
            </w:r>
          </w:p>
        </w:tc>
        <w:tc>
          <w:tcPr>
            <w:tcW w:type="dxa" w:w="2158"/>
          </w:tcPr>
          <w:p>
            <w:pPr>
              <w:spacing w:after="20" w:before="20"/>
            </w:pPr>
            <w:r/>
            <w:r>
              <w:rPr>
                <w:rFonts w:ascii="Times New Roman" w:hAnsi="Times New Roman" w:eastAsia="宋体"/>
                <w:b w:val="0"/>
                <w:sz w:val="21"/>
              </w:rPr>
              <w:t>会计学（智能会计）</w:t>
            </w:r>
          </w:p>
        </w:tc>
        <w:tc>
          <w:tcPr>
            <w:tcW w:type="dxa" w:w="2158"/>
          </w:tcPr>
          <w:p>
            <w:pPr>
              <w:spacing w:after="20" w:before="20"/>
            </w:pPr>
            <w:r/>
            <w:r>
              <w:rPr>
                <w:rFonts w:ascii="Times New Roman" w:hAnsi="Times New Roman" w:eastAsia="宋体"/>
                <w:b w:val="0"/>
                <w:sz w:val="21"/>
              </w:rPr>
              <w:t>N</w:t>
            </w:r>
          </w:p>
        </w:tc>
        <w:tc>
          <w:tcPr>
            <w:tcW w:type="dxa" w:w="2158"/>
          </w:tcPr>
          <w:p>
            <w:pPr>
              <w:spacing w:after="20" w:before="20"/>
            </w:pPr>
            <w:r/>
            <w:r>
              <w:rPr>
                <w:rFonts w:ascii="Times New Roman" w:hAnsi="Times New Roman" w:eastAsia="宋体"/>
                <w:b w:val="0"/>
                <w:sz w:val="21"/>
              </w:rPr>
              <w:t>最终产生专业类内推荐排序第3N-2名，第3N-1名，第3N名。</w:t>
            </w:r>
          </w:p>
        </w:tc>
      </w:tr>
      <w:tr>
        <w:tc>
          <w:tcPr>
            <w:tcW w:type="dxa" w:w="2158"/>
          </w:tcPr>
          <w:p>
            <w:pPr>
              <w:spacing w:after="20" w:before="20"/>
            </w:pPr>
            <w:r/>
            <w:r>
              <w:rPr>
                <w:rFonts w:ascii="Times New Roman" w:hAnsi="Times New Roman" w:eastAsia="宋体"/>
                <w:b w:val="0"/>
                <w:sz w:val="21"/>
              </w:rPr>
              <w:t>第N梯队</w:t>
            </w:r>
          </w:p>
        </w:tc>
        <w:tc>
          <w:tcPr>
            <w:tcW w:type="dxa" w:w="2158"/>
          </w:tcPr>
          <w:p>
            <w:pPr>
              <w:spacing w:after="20" w:before="20"/>
            </w:pPr>
            <w:r/>
            <w:r>
              <w:rPr>
                <w:rFonts w:ascii="Times New Roman" w:hAnsi="Times New Roman" w:eastAsia="宋体"/>
                <w:b w:val="0"/>
                <w:sz w:val="21"/>
              </w:rPr>
              <w:t>会计学（ACCA）</w:t>
            </w:r>
          </w:p>
        </w:tc>
        <w:tc>
          <w:tcPr>
            <w:tcW w:type="dxa" w:w="2158"/>
          </w:tcPr>
          <w:p>
            <w:pPr>
              <w:spacing w:after="20" w:before="20"/>
            </w:pPr>
            <w:r/>
            <w:r>
              <w:rPr>
                <w:rFonts w:ascii="Times New Roman" w:hAnsi="Times New Roman" w:eastAsia="宋体"/>
                <w:b w:val="0"/>
                <w:sz w:val="21"/>
              </w:rPr>
              <w:t>N</w:t>
            </w:r>
          </w:p>
        </w:tc>
        <w:tc>
          <w:tcPr>
            <w:tcW w:type="dxa" w:w="2158"/>
          </w:tcPr>
          <w:p>
            <w:pPr>
              <w:spacing w:after="20" w:before="20"/>
            </w:pPr>
            <w:r/>
            <w:r>
              <w:rPr>
                <w:rFonts w:ascii="Times New Roman" w:hAnsi="Times New Roman" w:eastAsia="宋体"/>
                <w:b w:val="0"/>
                <w:sz w:val="21"/>
              </w:rPr>
              <w:t>最终产生专业类内推荐排序第3N-2名，第3N-1名，第3N名。</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