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法学院2025年推荐优秀应届本科毕业生</w:t>
      </w:r>
    </w:p>
    <w:p>
      <w:pPr>
        <w:spacing w:after="80" w:lineRule="auto" w:line="360"/>
        <w:ind w:firstLine="482"/>
        <w:jc w:val="both"/>
      </w:pPr>
      <w:r>
        <w:rPr>
          <w:rFonts w:ascii="Times New Roman" w:hAnsi="Times New Roman" w:eastAsia="宋体"/>
          <w:b w:val="0"/>
          <w:sz w:val="24"/>
        </w:rPr>
        <w:t>法学院2025年推荐优秀应届本科毕业生免试攻读研究生工作实施方案（2024年9月10日修订）。为激励本科生勤奋学习，促进本科生的全面发展，根据教育部及学校推免最新规定，制定本实施方案。</w:t>
      </w:r>
    </w:p>
    <w:p>
      <w:pPr>
        <w:spacing w:after="80" w:lineRule="auto" w:line="360"/>
        <w:ind w:firstLine="482"/>
        <w:jc w:val="both"/>
      </w:pPr>
      <w:r>
        <w:rPr>
          <w:rFonts w:ascii="Times New Roman" w:hAnsi="Times New Roman" w:eastAsia="宋体"/>
          <w:b w:val="0"/>
          <w:sz w:val="24"/>
        </w:rPr>
        <w:t>发布日期：2024年9月10日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推荐免试工作坚持公开、公正、公平的原则，坚持以德为先、德智体全面衡量，择优推荐；考察平时学习成绩和一贯表现，并综合考虑科研创新潜质，根据推免指标，确定推荐人选。</w:t>
      </w:r>
    </w:p>
    <w:p>
      <w:pPr>
        <w:spacing w:before="160" w:after="80" w:lineRule="auto" w:line="360"/>
        <w:jc w:val="left"/>
      </w:pPr>
      <w:r>
        <w:rPr>
          <w:rFonts w:ascii="Times New Roman" w:hAnsi="Times New Roman" w:eastAsia="宋体"/>
          <w:b/>
          <w:sz w:val="28"/>
        </w:rPr>
        <w:t>二、获得推免资格的条件</w:t>
      </w:r>
    </w:p>
    <w:p>
      <w:pPr>
        <w:spacing w:after="80" w:lineRule="auto" w:line="360"/>
        <w:ind w:firstLine="482"/>
        <w:jc w:val="both"/>
      </w:pPr>
      <w:r>
        <w:rPr>
          <w:rFonts w:ascii="Times New Roman" w:hAnsi="Times New Roman" w:eastAsia="宋体"/>
          <w:b w:val="0"/>
          <w:sz w:val="24"/>
        </w:rPr>
        <w:t>1. 当年应届毕业生，德、智、体、美、劳全面发展。</w:t>
      </w:r>
    </w:p>
    <w:p>
      <w:pPr>
        <w:spacing w:after="80" w:lineRule="auto" w:line="360"/>
        <w:ind w:firstLine="482"/>
        <w:jc w:val="both"/>
      </w:pPr>
      <w:r>
        <w:rPr>
          <w:rFonts w:ascii="Times New Roman" w:hAnsi="Times New Roman" w:eastAsia="宋体"/>
          <w:b w:val="0"/>
          <w:sz w:val="24"/>
        </w:rPr>
        <w:t>2. 实践能力较强，本专业实践实验课程各项成绩良好以上。</w:t>
      </w:r>
    </w:p>
    <w:p>
      <w:pPr>
        <w:spacing w:after="80" w:lineRule="auto" w:line="360"/>
        <w:ind w:firstLine="482"/>
        <w:jc w:val="both"/>
      </w:pPr>
      <w:r>
        <w:rPr>
          <w:rFonts w:ascii="Times New Roman" w:hAnsi="Times New Roman" w:eastAsia="宋体"/>
          <w:b w:val="0"/>
          <w:sz w:val="24"/>
        </w:rPr>
        <w:t>3. 所有与法学专业准出标准相关的已修课程（一般通识课除外）均已通过。</w:t>
      </w:r>
    </w:p>
    <w:p>
      <w:pPr>
        <w:spacing w:after="80" w:lineRule="auto" w:line="360"/>
        <w:ind w:firstLine="482"/>
        <w:jc w:val="both"/>
      </w:pPr>
      <w:r>
        <w:rPr>
          <w:rFonts w:ascii="Times New Roman" w:hAnsi="Times New Roman" w:eastAsia="宋体"/>
          <w:b w:val="0"/>
          <w:sz w:val="24"/>
        </w:rPr>
        <w:t>4. 符合下述两种情况之一：</w:t>
      </w:r>
    </w:p>
    <w:p>
      <w:pPr>
        <w:spacing w:after="80" w:lineRule="auto" w:line="360"/>
        <w:ind w:firstLine="482"/>
        <w:jc w:val="both"/>
      </w:pPr>
      <w:r>
        <w:rPr>
          <w:rFonts w:ascii="Times New Roman" w:hAnsi="Times New Roman" w:eastAsia="宋体"/>
          <w:b w:val="0"/>
          <w:sz w:val="24"/>
        </w:rPr>
        <w:t>（1）同时满足下述三项条件：</w:t>
      </w:r>
    </w:p>
    <w:p>
      <w:pPr>
        <w:spacing w:after="80" w:lineRule="auto" w:line="360"/>
        <w:ind w:firstLine="482"/>
        <w:jc w:val="both"/>
      </w:pPr>
      <w:r>
        <w:rPr>
          <w:rFonts w:ascii="Times New Roman" w:hAnsi="Times New Roman" w:eastAsia="宋体"/>
          <w:b w:val="0"/>
          <w:sz w:val="24"/>
        </w:rPr>
        <w:t>① 前三个学年必修课算数平均分成绩位于法学院年级排名前30%。</w:t>
      </w:r>
    </w:p>
    <w:p>
      <w:pPr>
        <w:spacing w:after="80" w:lineRule="auto" w:line="360"/>
        <w:ind w:firstLine="482"/>
        <w:jc w:val="both"/>
      </w:pPr>
      <w:r>
        <w:rPr>
          <w:rFonts w:ascii="Times New Roman" w:hAnsi="Times New Roman" w:eastAsia="宋体"/>
          <w:b w:val="0"/>
          <w:sz w:val="24"/>
        </w:rPr>
        <w:t>2021级培养方案新增的必修课中，《形势与政策》《国家安全》两门课程由系列子课程构成，各作为一门课程计入算术平均分计算。</w:t>
      </w:r>
    </w:p>
    <w:p>
      <w:pPr>
        <w:spacing w:after="80" w:lineRule="auto" w:line="360"/>
        <w:ind w:firstLine="482"/>
        <w:jc w:val="both"/>
      </w:pPr>
      <w:r>
        <w:rPr>
          <w:rFonts w:ascii="Times New Roman" w:hAnsi="Times New Roman" w:eastAsia="宋体"/>
          <w:b w:val="0"/>
          <w:sz w:val="24"/>
        </w:rPr>
        <w:t>《形势与政策》成绩为：该课程序号（1）-（6）分别按照下述公式得出分数后，相加之和。</w:t>
      </w:r>
    </w:p>
    <w:p>
      <w:pPr>
        <w:spacing w:after="80" w:lineRule="auto" w:line="360"/>
        <w:ind w:firstLine="482"/>
        <w:jc w:val="both"/>
      </w:pPr>
      <w:r>
        <w:rPr>
          <w:rFonts w:ascii="Times New Roman" w:hAnsi="Times New Roman" w:eastAsia="宋体"/>
          <w:b w:val="0"/>
          <w:sz w:val="24"/>
        </w:rPr>
        <w:t>《国家安全》成绩为：该课程序号（1）-（6）分别按照下述公式得出分数后，相加之和。</w:t>
      </w:r>
    </w:p>
    <w:p>
      <w:pPr>
        <w:spacing w:after="80" w:lineRule="auto" w:line="360"/>
        <w:ind w:firstLine="482"/>
        <w:jc w:val="both"/>
      </w:pPr>
      <w:r>
        <w:rPr>
          <w:rFonts w:ascii="Times New Roman" w:hAnsi="Times New Roman" w:eastAsia="宋体"/>
          <w:b w:val="0"/>
          <w:sz w:val="24"/>
        </w:rPr>
        <w:t>若学生有转专业情况，计入本项计算的必修课包含：转入法学院后所修的必修课，以及入学以来至转入法学院之前所修课程中与法学专业准出相关的必修课。</w:t>
      </w:r>
    </w:p>
    <w:p>
      <w:pPr>
        <w:spacing w:after="80" w:lineRule="auto" w:line="360"/>
        <w:ind w:firstLine="482"/>
        <w:jc w:val="both"/>
      </w:pPr>
      <w:r>
        <w:rPr>
          <w:rFonts w:ascii="Times New Roman" w:hAnsi="Times New Roman" w:eastAsia="宋体"/>
          <w:b w:val="0"/>
          <w:sz w:val="24"/>
        </w:rPr>
        <w:t>本项中的必修课成绩不包括《北京航空航天大学本科生交流交换学习管理办法（试行）》（校教函字〔2017〕4号）第二条的“交流”项目（发生于寒、暑假期间或项目时长小于六周的短期项目）课程转换的必修课成绩。</w:t>
      </w:r>
    </w:p>
    <w:p>
      <w:pPr>
        <w:spacing w:after="80" w:lineRule="auto" w:line="360"/>
        <w:ind w:firstLine="482"/>
        <w:jc w:val="both"/>
      </w:pPr>
      <w:r>
        <w:rPr>
          <w:rFonts w:ascii="Times New Roman" w:hAnsi="Times New Roman" w:eastAsia="宋体"/>
          <w:b w:val="0"/>
          <w:sz w:val="24"/>
        </w:rPr>
        <w:t>② 法学专业核心课的算数平均分成绩位于法学院年级排名前30%。本项中的“法学专业核心课”包括：《习近平法治思想概论》《宪法原理》《刑法原理》《法理学》《民法总论》《债法（含合同法）》《刑法分论》《物权法》《刑事诉讼法》《民事诉讼法》《行政法》《行政诉讼法》《商法（含公司法和证券法）》《知识产权法》《环境与自然资源保护法》《国际公法》《中国法律史》《法律职业伦理》。</w:t>
      </w:r>
    </w:p>
    <w:p>
      <w:pPr>
        <w:spacing w:after="80" w:lineRule="auto" w:line="360"/>
        <w:ind w:firstLine="482"/>
        <w:jc w:val="both"/>
      </w:pPr>
      <w:r>
        <w:rPr>
          <w:rFonts w:ascii="Times New Roman" w:hAnsi="Times New Roman" w:eastAsia="宋体"/>
          <w:b w:val="0"/>
          <w:sz w:val="24"/>
        </w:rPr>
        <w:t>③ 法学专业选修课的算术平均分成绩位于法学院年级排名前50%。</w:t>
      </w:r>
    </w:p>
    <w:p>
      <w:pPr>
        <w:spacing w:after="80" w:lineRule="auto" w:line="360"/>
        <w:ind w:firstLine="482"/>
        <w:jc w:val="both"/>
      </w:pPr>
      <w:r>
        <w:rPr>
          <w:rFonts w:ascii="Times New Roman" w:hAnsi="Times New Roman" w:eastAsia="宋体"/>
          <w:b w:val="0"/>
          <w:sz w:val="24"/>
        </w:rPr>
        <w:t>必修课曾有1门不及格记录者，法学专业核心课算术平均分成绩排名须位于前10%。法学专业选修课曾有1门不及格记录者，法学专业选修课算术平均分成绩须位于所在专业排名前30%；曾有2门不及格记录者，法学专业选修课算术平均分成绩须位于所在专业排名前10%。</w:t>
      </w:r>
    </w:p>
    <w:p>
      <w:pPr>
        <w:spacing w:after="80" w:lineRule="auto" w:line="360"/>
        <w:ind w:firstLine="482"/>
        <w:jc w:val="both"/>
      </w:pPr>
      <w:r>
        <w:rPr>
          <w:rFonts w:ascii="Times New Roman" w:hAnsi="Times New Roman" w:eastAsia="宋体"/>
          <w:b w:val="0"/>
          <w:sz w:val="24"/>
        </w:rPr>
        <w:t>（2）在大二学年、大三学年，连续两年获得优秀生资格者。</w:t>
      </w:r>
    </w:p>
    <w:p>
      <w:pPr>
        <w:spacing w:after="80" w:lineRule="auto" w:line="360"/>
        <w:ind w:firstLine="482"/>
        <w:jc w:val="both"/>
      </w:pPr>
      <w:r>
        <w:rPr>
          <w:rFonts w:ascii="Times New Roman" w:hAnsi="Times New Roman" w:eastAsia="宋体"/>
          <w:b w:val="0"/>
          <w:sz w:val="24"/>
        </w:rPr>
        <w:t>5. 根据学校推免工作管理办法，以其他方式获得推免资格的学生，按照相关规定执行。</w:t>
      </w:r>
    </w:p>
    <w:p>
      <w:pPr>
        <w:spacing w:after="80" w:lineRule="auto" w:line="360"/>
        <w:ind w:firstLine="482"/>
        <w:jc w:val="both"/>
      </w:pPr>
      <w:r>
        <w:rPr>
          <w:rFonts w:ascii="Times New Roman" w:hAnsi="Times New Roman" w:eastAsia="宋体"/>
          <w:b w:val="0"/>
          <w:sz w:val="24"/>
        </w:rPr>
        <w:t>6. 推荐免试直接攻读博士研究生的，按照另行制定的直博生推免办法进行推免。</w:t>
      </w:r>
    </w:p>
    <w:p>
      <w:pPr>
        <w:spacing w:after="80" w:lineRule="auto" w:line="360"/>
        <w:ind w:firstLine="482"/>
        <w:jc w:val="both"/>
      </w:pPr>
      <w:r>
        <w:rPr>
          <w:rFonts w:ascii="Times New Roman" w:hAnsi="Times New Roman" w:eastAsia="宋体"/>
          <w:b w:val="0"/>
          <w:sz w:val="24"/>
        </w:rPr>
        <w:t>7. 符合上述条件的学生中，在校期间有下列情况之一者，经学院审核，同等条件下可予优先考虑：</w:t>
      </w:r>
    </w:p>
    <w:p>
      <w:pPr>
        <w:spacing w:after="80" w:lineRule="auto" w:line="360"/>
        <w:ind w:firstLine="482"/>
        <w:jc w:val="both"/>
      </w:pPr>
      <w:r>
        <w:rPr>
          <w:rFonts w:ascii="Times New Roman" w:hAnsi="Times New Roman" w:eastAsia="宋体"/>
          <w:b w:val="0"/>
          <w:sz w:val="24"/>
        </w:rPr>
        <w:t>（1）曾有参军入伍服兵役经历；</w:t>
      </w:r>
    </w:p>
    <w:p>
      <w:pPr>
        <w:spacing w:after="80" w:lineRule="auto" w:line="360"/>
        <w:ind w:firstLine="482"/>
        <w:jc w:val="both"/>
      </w:pPr>
      <w:r>
        <w:rPr>
          <w:rFonts w:ascii="Times New Roman" w:hAnsi="Times New Roman" w:eastAsia="宋体"/>
          <w:b w:val="0"/>
          <w:sz w:val="24"/>
        </w:rPr>
        <w:t>（2）曾到国际组织实习一个月（含）以上；</w:t>
      </w:r>
    </w:p>
    <w:p>
      <w:pPr>
        <w:spacing w:after="80" w:lineRule="auto" w:line="360"/>
        <w:ind w:firstLine="482"/>
        <w:jc w:val="both"/>
      </w:pPr>
      <w:r>
        <w:rPr>
          <w:rFonts w:ascii="Times New Roman" w:hAnsi="Times New Roman" w:eastAsia="宋体"/>
          <w:b w:val="0"/>
          <w:sz w:val="24"/>
        </w:rPr>
        <w:t>（3）参加重要志愿服务活动。</w:t>
      </w:r>
    </w:p>
    <w:p>
      <w:pPr>
        <w:spacing w:after="80" w:lineRule="auto" w:line="360"/>
        <w:ind w:firstLine="482"/>
        <w:jc w:val="both"/>
      </w:pPr>
      <w:r>
        <w:rPr>
          <w:rFonts w:ascii="Times New Roman" w:hAnsi="Times New Roman" w:eastAsia="宋体"/>
          <w:b w:val="0"/>
          <w:sz w:val="24"/>
        </w:rPr>
        <w:t>上款中（2）（3）两项，需经学院成立专家审核小组，审核认定是否属于国际组织实习、重要志愿服务活动。</w:t>
      </w:r>
    </w:p>
    <w:p>
      <w:pPr>
        <w:spacing w:before="160" w:after="80" w:lineRule="auto" w:line="360"/>
        <w:jc w:val="left"/>
      </w:pPr>
      <w:r>
        <w:rPr>
          <w:rFonts w:ascii="Times New Roman" w:hAnsi="Times New Roman" w:eastAsia="宋体"/>
          <w:b/>
          <w:sz w:val="28"/>
        </w:rPr>
        <w:t>三、推免资格的顺延递补</w:t>
      </w:r>
    </w:p>
    <w:p>
      <w:pPr>
        <w:spacing w:after="80" w:lineRule="auto" w:line="360"/>
        <w:ind w:firstLine="482"/>
        <w:jc w:val="both"/>
      </w:pPr>
      <w:r>
        <w:rPr>
          <w:rFonts w:ascii="Times New Roman" w:hAnsi="Times New Roman" w:eastAsia="宋体"/>
          <w:b w:val="0"/>
          <w:sz w:val="24"/>
        </w:rPr>
        <w:t>前60%</w:t>
      </w:r>
    </w:p>
    <w:p>
      <w:pPr>
        <w:spacing w:after="80" w:lineRule="auto" w:line="360"/>
        <w:ind w:firstLine="482"/>
        <w:jc w:val="both"/>
      </w:pPr>
      <w:r>
        <w:rPr>
          <w:rFonts w:ascii="Times New Roman" w:hAnsi="Times New Roman" w:eastAsia="宋体"/>
          <w:b w:val="0"/>
          <w:sz w:val="24"/>
        </w:rPr>
        <w:t>……</w:t>
      </w:r>
    </w:p>
    <w:p>
      <w:pPr>
        <w:spacing w:after="80" w:lineRule="auto" w:line="360"/>
        <w:ind w:firstLine="482"/>
        <w:jc w:val="both"/>
      </w:pPr>
      <w:r>
        <w:rPr>
          <w:rFonts w:ascii="Times New Roman" w:hAnsi="Times New Roman" w:eastAsia="宋体"/>
          <w:b w:val="0"/>
          <w:sz w:val="24"/>
        </w:rPr>
        <w:t>……</w:t>
      </w:r>
    </w:p>
    <w:p>
      <w:pPr>
        <w:spacing w:after="80" w:lineRule="auto" w:line="360"/>
        <w:ind w:firstLine="482"/>
        <w:jc w:val="both"/>
      </w:pPr>
      <w:r>
        <w:rPr>
          <w:rFonts w:ascii="Times New Roman" w:hAnsi="Times New Roman" w:eastAsia="宋体"/>
          <w:b w:val="0"/>
          <w:sz w:val="24"/>
        </w:rPr>
        <w:t>……</w:t>
      </w:r>
    </w:p>
    <w:p>
      <w:pPr>
        <w:spacing w:after="80" w:lineRule="auto" w:line="360"/>
        <w:ind w:firstLine="482"/>
        <w:jc w:val="both"/>
      </w:pPr>
      <w:r>
        <w:rPr>
          <w:rFonts w:ascii="Times New Roman" w:hAnsi="Times New Roman" w:eastAsia="宋体"/>
          <w:b w:val="0"/>
          <w:sz w:val="24"/>
        </w:rPr>
        <w:t>（2）上述第（1）款中的候选人，必修课曾有1门不及格记录者，法学专业核心课算术平均分成绩须位于前20%。法学专业选修课曾有1门不及格记录者，法学专业选修课算术平均分成绩须位于前40%；曾有2门不及格记录者，法学专业选修课算术平均分成绩须位于前20%。</w:t>
      </w:r>
    </w:p>
    <w:p>
      <w:pPr>
        <w:spacing w:after="80" w:lineRule="auto" w:line="360"/>
        <w:ind w:firstLine="482"/>
        <w:jc w:val="both"/>
      </w:pPr>
      <w:r>
        <w:rPr>
          <w:rFonts w:ascii="Times New Roman" w:hAnsi="Times New Roman" w:eastAsia="宋体"/>
          <w:b w:val="0"/>
          <w:sz w:val="24"/>
        </w:rPr>
        <w:t>（3）推免资格候选人的排名先于推免资格第二梯队候选人，第二梯队候选人的排名先于第三梯队候选人，第三梯队候选人的排名先于第四梯队候选人，依此类推。</w:t>
      </w:r>
    </w:p>
    <w:p>
      <w:pPr>
        <w:spacing w:before="160" w:after="80" w:lineRule="auto" w:line="360"/>
        <w:jc w:val="left"/>
      </w:pPr>
      <w:r>
        <w:rPr>
          <w:rFonts w:ascii="Times New Roman" w:hAnsi="Times New Roman" w:eastAsia="宋体"/>
          <w:b/>
          <w:sz w:val="28"/>
        </w:rPr>
        <w:t>四、不予推免的情形</w:t>
      </w:r>
    </w:p>
    <w:p>
      <w:pPr>
        <w:spacing w:after="80" w:lineRule="auto" w:line="360"/>
        <w:ind w:firstLine="482"/>
        <w:jc w:val="both"/>
      </w:pPr>
      <w:r>
        <w:rPr>
          <w:rFonts w:ascii="Times New Roman" w:hAnsi="Times New Roman" w:eastAsia="宋体"/>
          <w:b w:val="0"/>
          <w:sz w:val="24"/>
        </w:rPr>
        <w:t>有下列情形之一的，不予推免：</w:t>
      </w:r>
    </w:p>
    <w:p>
      <w:pPr>
        <w:spacing w:after="80" w:lineRule="auto" w:line="360"/>
        <w:ind w:firstLine="482"/>
        <w:jc w:val="both"/>
      </w:pPr>
      <w:r>
        <w:rPr>
          <w:rFonts w:ascii="Times New Roman" w:hAnsi="Times New Roman" w:eastAsia="宋体"/>
          <w:b w:val="0"/>
          <w:sz w:val="24"/>
        </w:rPr>
        <w:t>1. 有考试作弊或剽窃他人学术成果行为的；</w:t>
      </w:r>
    </w:p>
    <w:p>
      <w:pPr>
        <w:spacing w:after="80" w:lineRule="auto" w:line="360"/>
        <w:ind w:firstLine="482"/>
        <w:jc w:val="both"/>
      </w:pPr>
      <w:r>
        <w:rPr>
          <w:rFonts w:ascii="Times New Roman" w:hAnsi="Times New Roman" w:eastAsia="宋体"/>
          <w:b w:val="0"/>
          <w:sz w:val="24"/>
        </w:rPr>
        <w:t>2. 受学校警告及以上纪律处分且仍在处分期内的；</w:t>
      </w:r>
    </w:p>
    <w:p>
      <w:pPr>
        <w:spacing w:after="80" w:lineRule="auto" w:line="360"/>
        <w:ind w:firstLine="482"/>
        <w:jc w:val="both"/>
      </w:pPr>
      <w:r>
        <w:rPr>
          <w:rFonts w:ascii="Times New Roman" w:hAnsi="Times New Roman" w:eastAsia="宋体"/>
          <w:b w:val="0"/>
          <w:sz w:val="24"/>
        </w:rPr>
        <w:t>3. 其他违反国家法律规定及上级单位相关要求的；</w:t>
      </w:r>
    </w:p>
    <w:p>
      <w:pPr>
        <w:spacing w:after="80" w:lineRule="auto" w:line="360"/>
        <w:ind w:firstLine="482"/>
        <w:jc w:val="both"/>
      </w:pPr>
      <w:r>
        <w:rPr>
          <w:rFonts w:ascii="Times New Roman" w:hAnsi="Times New Roman" w:eastAsia="宋体"/>
          <w:b w:val="0"/>
          <w:sz w:val="24"/>
        </w:rPr>
        <w:t>4. 必修课曾有2门（含）以上不及格记录的；</w:t>
      </w:r>
    </w:p>
    <w:p>
      <w:pPr>
        <w:spacing w:after="80" w:lineRule="auto" w:line="360"/>
        <w:ind w:firstLine="482"/>
        <w:jc w:val="both"/>
      </w:pPr>
      <w:r>
        <w:rPr>
          <w:rFonts w:ascii="Times New Roman" w:hAnsi="Times New Roman" w:eastAsia="宋体"/>
          <w:b w:val="0"/>
          <w:sz w:val="24"/>
        </w:rPr>
        <w:t>5. 法学专业选修课曾有3门（含）以上不及格记录的。</w:t>
      </w:r>
    </w:p>
    <w:p>
      <w:pPr>
        <w:spacing w:before="160" w:after="80" w:lineRule="auto" w:line="360"/>
        <w:jc w:val="left"/>
      </w:pPr>
      <w:r>
        <w:rPr>
          <w:rFonts w:ascii="Times New Roman" w:hAnsi="Times New Roman" w:eastAsia="宋体"/>
          <w:b/>
          <w:sz w:val="28"/>
        </w:rPr>
        <w:t>五、取消推免资格的情形</w:t>
      </w:r>
    </w:p>
    <w:p>
      <w:pPr>
        <w:spacing w:after="80" w:lineRule="auto" w:line="360"/>
        <w:ind w:firstLine="482"/>
        <w:jc w:val="both"/>
      </w:pPr>
      <w:r>
        <w:rPr>
          <w:rFonts w:ascii="Times New Roman" w:hAnsi="Times New Roman" w:eastAsia="宋体"/>
          <w:b w:val="0"/>
          <w:sz w:val="24"/>
        </w:rPr>
        <w:t>获得推免资格的学生，在研究生正式入学前，有下列情形之一的，取消其推免资格：</w:t>
      </w:r>
    </w:p>
    <w:p>
      <w:pPr>
        <w:spacing w:after="80" w:lineRule="auto" w:line="360"/>
        <w:ind w:firstLine="482"/>
        <w:jc w:val="both"/>
      </w:pPr>
      <w:r>
        <w:rPr>
          <w:rFonts w:ascii="Times New Roman" w:hAnsi="Times New Roman" w:eastAsia="宋体"/>
          <w:b w:val="0"/>
          <w:sz w:val="24"/>
        </w:rPr>
        <w:t>1. 不能如期毕业，或不能获得学士学位的；</w:t>
      </w:r>
    </w:p>
    <w:p>
      <w:pPr>
        <w:spacing w:after="80" w:lineRule="auto" w:line="360"/>
        <w:ind w:firstLine="482"/>
        <w:jc w:val="both"/>
      </w:pPr>
      <w:r>
        <w:rPr>
          <w:rFonts w:ascii="Times New Roman" w:hAnsi="Times New Roman" w:eastAsia="宋体"/>
          <w:b w:val="0"/>
          <w:sz w:val="24"/>
        </w:rPr>
        <w:t>2. 有考试作弊或剽窃他人学术成果行为的；</w:t>
      </w:r>
    </w:p>
    <w:p>
      <w:pPr>
        <w:spacing w:after="80" w:lineRule="auto" w:line="360"/>
        <w:ind w:firstLine="482"/>
        <w:jc w:val="both"/>
      </w:pPr>
      <w:r>
        <w:rPr>
          <w:rFonts w:ascii="Times New Roman" w:hAnsi="Times New Roman" w:eastAsia="宋体"/>
          <w:b w:val="0"/>
          <w:sz w:val="24"/>
        </w:rPr>
        <w:t>3. 违反学校规定，受警告及以上纪律处分的；</w:t>
      </w:r>
    </w:p>
    <w:p>
      <w:pPr>
        <w:spacing w:after="80" w:lineRule="auto" w:line="360"/>
        <w:ind w:firstLine="482"/>
        <w:jc w:val="both"/>
      </w:pPr>
      <w:r>
        <w:rPr>
          <w:rFonts w:ascii="Times New Roman" w:hAnsi="Times New Roman" w:eastAsia="宋体"/>
          <w:b w:val="0"/>
          <w:sz w:val="24"/>
        </w:rPr>
        <w:t>4. 其他违反国家法律规定及上级单位相关要求的；</w:t>
      </w:r>
    </w:p>
    <w:p>
      <w:pPr>
        <w:spacing w:after="80" w:lineRule="auto" w:line="360"/>
        <w:ind w:firstLine="482"/>
        <w:jc w:val="both"/>
      </w:pPr>
      <w:r>
        <w:rPr>
          <w:rFonts w:ascii="Times New Roman" w:hAnsi="Times New Roman" w:eastAsia="宋体"/>
          <w:b w:val="0"/>
          <w:sz w:val="24"/>
        </w:rPr>
        <w:t>5. 毕业论文未取得优良成绩的。</w:t>
      </w:r>
    </w:p>
    <w:p>
      <w:pPr>
        <w:spacing w:before="160" w:after="80" w:lineRule="auto" w:line="360"/>
        <w:jc w:val="left"/>
      </w:pPr>
      <w:r>
        <w:rPr>
          <w:rFonts w:ascii="Times New Roman" w:hAnsi="Times New Roman" w:eastAsia="宋体"/>
          <w:b/>
          <w:sz w:val="28"/>
        </w:rPr>
        <w:t>六、确定推免资格的程序</w:t>
      </w:r>
    </w:p>
    <w:p>
      <w:pPr>
        <w:spacing w:after="80" w:lineRule="auto" w:line="360"/>
        <w:ind w:firstLine="482"/>
        <w:jc w:val="both"/>
      </w:pPr>
      <w:r>
        <w:rPr>
          <w:rFonts w:ascii="Times New Roman" w:hAnsi="Times New Roman" w:eastAsia="宋体"/>
          <w:b w:val="0"/>
          <w:sz w:val="24"/>
        </w:rPr>
        <w:t>1. 法学院成立推免工作领导小组，由书记、院长任组长，本科教学副院长、副书记任副组长。</w:t>
      </w:r>
    </w:p>
    <w:p>
      <w:pPr>
        <w:spacing w:after="80" w:lineRule="auto" w:line="360"/>
        <w:ind w:firstLine="482"/>
        <w:jc w:val="both"/>
      </w:pPr>
      <w:r>
        <w:rPr>
          <w:rFonts w:ascii="Times New Roman" w:hAnsi="Times New Roman" w:eastAsia="宋体"/>
          <w:b w:val="0"/>
          <w:sz w:val="24"/>
        </w:rPr>
        <w:t>2. 推免相关工作人员有直系亲属或利益相关人员报名参加法学院推免的，应主动申请回避；有非直系亲属等报名参加推免的，主动向学院报备。未按规定回避、报备的推免相关工作人员，学校将依规依纪处理。</w:t>
      </w:r>
    </w:p>
    <w:p>
      <w:pPr>
        <w:spacing w:after="80" w:lineRule="auto" w:line="360"/>
        <w:ind w:firstLine="482"/>
        <w:jc w:val="both"/>
      </w:pPr>
      <w:r>
        <w:rPr>
          <w:rFonts w:ascii="Times New Roman" w:hAnsi="Times New Roman" w:eastAsia="宋体"/>
          <w:b w:val="0"/>
          <w:sz w:val="24"/>
        </w:rPr>
        <w:t>3. 符合申请条件的学生，根据学校有关规定和法学院公布的推免工作实施方案有关要求，向学院提交申请（包含相应证明材料）。学院择优确定初选名单。</w:t>
      </w:r>
    </w:p>
    <w:p>
      <w:pPr>
        <w:spacing w:after="80" w:lineRule="auto" w:line="360"/>
        <w:ind w:firstLine="482"/>
        <w:jc w:val="both"/>
      </w:pPr>
      <w:r>
        <w:rPr>
          <w:rFonts w:ascii="Times New Roman" w:hAnsi="Times New Roman" w:eastAsia="宋体"/>
          <w:b w:val="0"/>
          <w:sz w:val="24"/>
        </w:rPr>
        <w:t>4. 初选名单经法学院推免工作领导小组审核，形成法学院拟推免名单，报学院党政联席会审议后，经教务部提交学校审定。</w:t>
      </w:r>
    </w:p>
    <w:p>
      <w:pPr>
        <w:spacing w:after="80" w:lineRule="auto" w:line="360"/>
        <w:ind w:firstLine="482"/>
        <w:jc w:val="both"/>
      </w:pPr>
      <w:r>
        <w:rPr>
          <w:rFonts w:ascii="Times New Roman" w:hAnsi="Times New Roman" w:eastAsia="宋体"/>
          <w:b w:val="0"/>
          <w:sz w:val="24"/>
        </w:rPr>
        <w:t>5. 学院在学校网站和学院相关公示渠道按要求对拟推免名单进行公示。学生如有异议，可在公示期内向学院反馈，学院对学生申诉和投诉进行调查、核实、提出处理意见，报教务部审批后处理。</w:t>
      </w:r>
    </w:p>
    <w:p>
      <w:pPr>
        <w:spacing w:after="80" w:lineRule="auto" w:line="360"/>
        <w:ind w:firstLine="482"/>
        <w:jc w:val="both"/>
      </w:pPr>
      <w:r>
        <w:rPr>
          <w:rFonts w:ascii="Times New Roman" w:hAnsi="Times New Roman" w:eastAsia="宋体"/>
          <w:b w:val="0"/>
          <w:sz w:val="24"/>
        </w:rPr>
        <w:t>法学院教务办联系电话010-82316137，邮箱fxybkjw@163.com。</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本方案经过推免工作领导小组及单位党政联席会审议，在学校网站和学院相关公示渠道按要求进行公示后，报教务部审核备案。</w:t>
      </w:r>
    </w:p>
    <w:p>
      <w:pPr>
        <w:spacing w:after="80" w:lineRule="auto" w:line="360"/>
        <w:ind w:firstLine="482"/>
        <w:jc w:val="both"/>
      </w:pPr>
      <w:r>
        <w:rPr>
          <w:rFonts w:ascii="Times New Roman" w:hAnsi="Times New Roman" w:eastAsia="宋体"/>
          <w:b w:val="0"/>
          <w:sz w:val="24"/>
        </w:rPr>
        <w:t>2. 未尽事宜参照学校的相关规定，由法学院推免工作领导小组负责解释。</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必修课算术平均分成绩</w:t>
            </w:r>
          </w:p>
        </w:tc>
        <w:tc>
          <w:tcPr>
            <w:tcW w:type="dxa" w:w="2158"/>
          </w:tcPr>
          <w:p>
            <w:pPr>
              <w:spacing w:after="20" w:before="20"/>
            </w:pPr>
            <w:r/>
            <w:r>
              <w:rPr>
                <w:rFonts w:ascii="Times New Roman" w:hAnsi="Times New Roman" w:eastAsia="宋体"/>
                <w:b/>
                <w:sz w:val="21"/>
              </w:rPr>
              <w:t>专业核心课算数平均分成绩</w:t>
            </w:r>
          </w:p>
        </w:tc>
        <w:tc>
          <w:tcPr>
            <w:tcW w:type="dxa" w:w="2158"/>
          </w:tcPr>
          <w:p>
            <w:pPr>
              <w:spacing w:after="20" w:before="20"/>
            </w:pPr>
            <w:r/>
            <w:r>
              <w:rPr>
                <w:rFonts w:ascii="Times New Roman" w:hAnsi="Times New Roman" w:eastAsia="宋体"/>
                <w:b/>
                <w:sz w:val="21"/>
              </w:rPr>
              <w:t>专业选修课的算术平均分成绩</w:t>
            </w:r>
          </w:p>
        </w:tc>
      </w:tr>
      <w:tr>
        <w:tc>
          <w:tcPr>
            <w:tcW w:type="dxa" w:w="2158"/>
          </w:tcPr>
          <w:p>
            <w:pPr>
              <w:spacing w:after="20" w:before="20"/>
            </w:pPr>
            <w:r/>
            <w:r>
              <w:rPr>
                <w:rFonts w:ascii="Times New Roman" w:hAnsi="Times New Roman" w:eastAsia="宋体"/>
                <w:b w:val="0"/>
                <w:sz w:val="21"/>
              </w:rPr>
              <w:t>推免资格候选人</w:t>
            </w:r>
          </w:p>
        </w:tc>
        <w:tc>
          <w:tcPr>
            <w:tcW w:type="dxa" w:w="2158"/>
          </w:tcPr>
          <w:p>
            <w:pPr>
              <w:spacing w:after="20" w:before="20"/>
            </w:pPr>
            <w:r/>
            <w:r>
              <w:rPr>
                <w:rFonts w:ascii="Times New Roman" w:hAnsi="Times New Roman" w:eastAsia="宋体"/>
                <w:b w:val="0"/>
                <w:sz w:val="21"/>
              </w:rPr>
              <w:t>前30%</w:t>
            </w:r>
          </w:p>
        </w:tc>
        <w:tc>
          <w:tcPr>
            <w:tcW w:type="dxa" w:w="2158"/>
          </w:tcPr>
          <w:p>
            <w:pPr>
              <w:spacing w:after="20" w:before="20"/>
            </w:pPr>
            <w:r/>
            <w:r>
              <w:rPr>
                <w:rFonts w:ascii="Times New Roman" w:hAnsi="Times New Roman" w:eastAsia="宋体"/>
                <w:b w:val="0"/>
                <w:sz w:val="21"/>
              </w:rPr>
              <w:t>前30%</w:t>
            </w:r>
          </w:p>
        </w:tc>
        <w:tc>
          <w:tcPr>
            <w:tcW w:type="dxa" w:w="2158"/>
          </w:tcPr>
          <w:p>
            <w:pPr>
              <w:spacing w:after="20" w:before="20"/>
            </w:pPr>
            <w:r/>
            <w:r>
              <w:rPr>
                <w:rFonts w:ascii="Times New Roman" w:hAnsi="Times New Roman" w:eastAsia="宋体"/>
                <w:b w:val="0"/>
                <w:sz w:val="21"/>
              </w:rPr>
              <w:t>前50%</w:t>
            </w:r>
          </w:p>
        </w:tc>
      </w:tr>
      <w:tr>
        <w:tc>
          <w:tcPr>
            <w:tcW w:type="dxa" w:w="2158"/>
          </w:tcPr>
          <w:p>
            <w:pPr>
              <w:spacing w:after="20" w:before="20"/>
            </w:pPr>
            <w:r/>
            <w:r>
              <w:rPr>
                <w:rFonts w:ascii="Times New Roman" w:hAnsi="Times New Roman" w:eastAsia="宋体"/>
                <w:b w:val="0"/>
                <w:sz w:val="21"/>
              </w:rPr>
              <w:t>推免资格第二梯队候选人</w:t>
            </w:r>
          </w:p>
        </w:tc>
        <w:tc>
          <w:tcPr>
            <w:tcW w:type="dxa" w:w="2158"/>
          </w:tcPr>
          <w:p>
            <w:pPr>
              <w:spacing w:after="20" w:before="20"/>
            </w:pPr>
            <w:r/>
            <w:r>
              <w:rPr>
                <w:rFonts w:ascii="Times New Roman" w:hAnsi="Times New Roman" w:eastAsia="宋体"/>
                <w:b w:val="0"/>
                <w:sz w:val="21"/>
              </w:rPr>
              <w:t>前30%</w:t>
            </w:r>
          </w:p>
        </w:tc>
        <w:tc>
          <w:tcPr>
            <w:tcW w:type="dxa" w:w="2158"/>
          </w:tcPr>
          <w:p>
            <w:pPr>
              <w:spacing w:after="20" w:before="20"/>
            </w:pPr>
            <w:r/>
            <w:r>
              <w:rPr>
                <w:rFonts w:ascii="Times New Roman" w:hAnsi="Times New Roman" w:eastAsia="宋体"/>
                <w:b w:val="0"/>
                <w:sz w:val="21"/>
              </w:rPr>
              <w:t>前40%</w:t>
            </w:r>
          </w:p>
        </w:tc>
        <w:tc>
          <w:tcPr>
            <w:tcW w:type="dxa" w:w="2158"/>
          </w:tcPr>
          <w:p>
            <w:pPr>
              <w:spacing w:after="20" w:before="20"/>
            </w:pPr>
            <w:r/>
            <w:r>
              <w:rPr>
                <w:rFonts w:ascii="Times New Roman" w:hAnsi="Times New Roman" w:eastAsia="宋体"/>
                <w:b w:val="0"/>
                <w:sz w:val="21"/>
              </w:rPr>
              <w:t>前50%</w:t>
            </w:r>
          </w:p>
        </w:tc>
      </w:tr>
      <w:tr>
        <w:tc>
          <w:tcPr>
            <w:tcW w:type="dxa" w:w="2158"/>
          </w:tcPr>
          <w:p>
            <w:pPr>
              <w:spacing w:after="20" w:before="20"/>
            </w:pPr>
            <w:r/>
            <w:r>
              <w:rPr>
                <w:rFonts w:ascii="Times New Roman" w:hAnsi="Times New Roman" w:eastAsia="宋体"/>
                <w:b w:val="0"/>
                <w:sz w:val="21"/>
              </w:rPr>
              <w:t>推免资格第三梯队候选人</w:t>
            </w:r>
          </w:p>
        </w:tc>
        <w:tc>
          <w:tcPr>
            <w:tcW w:type="dxa" w:w="2158"/>
          </w:tcPr>
          <w:p>
            <w:pPr>
              <w:spacing w:after="20" w:before="20"/>
            </w:pPr>
            <w:r/>
            <w:r>
              <w:rPr>
                <w:rFonts w:ascii="Times New Roman" w:hAnsi="Times New Roman" w:eastAsia="宋体"/>
                <w:b w:val="0"/>
                <w:sz w:val="21"/>
              </w:rPr>
              <w:t>前40%</w:t>
            </w:r>
          </w:p>
        </w:tc>
        <w:tc>
          <w:tcPr>
            <w:tcW w:type="dxa" w:w="2158"/>
          </w:tcPr>
          <w:p>
            <w:pPr>
              <w:spacing w:after="20" w:before="20"/>
            </w:pPr>
            <w:r/>
            <w:r>
              <w:rPr>
                <w:rFonts w:ascii="Times New Roman" w:hAnsi="Times New Roman" w:eastAsia="宋体"/>
                <w:b w:val="0"/>
                <w:sz w:val="21"/>
              </w:rPr>
              <w:t>前30%</w:t>
            </w:r>
          </w:p>
        </w:tc>
        <w:tc>
          <w:tcPr>
            <w:tcW w:type="dxa" w:w="2158"/>
          </w:tcPr>
          <w:p>
            <w:pPr>
              <w:spacing w:after="20" w:before="20"/>
            </w:pPr>
            <w:r/>
            <w:r>
              <w:rPr>
                <w:rFonts w:ascii="Times New Roman" w:hAnsi="Times New Roman" w:eastAsia="宋体"/>
                <w:b w:val="0"/>
                <w:sz w:val="21"/>
              </w:rPr>
              <w:t>前50%</w:t>
            </w:r>
          </w:p>
        </w:tc>
      </w:tr>
      <w:tr>
        <w:tc>
          <w:tcPr>
            <w:tcW w:type="dxa" w:w="2158"/>
          </w:tcPr>
          <w:p>
            <w:pPr>
              <w:spacing w:after="20" w:before="20"/>
            </w:pPr>
            <w:r/>
            <w:r>
              <w:rPr>
                <w:rFonts w:ascii="Times New Roman" w:hAnsi="Times New Roman" w:eastAsia="宋体"/>
                <w:b w:val="0"/>
                <w:sz w:val="21"/>
              </w:rPr>
              <w:t>推免资格第四梯队候选人</w:t>
            </w:r>
          </w:p>
        </w:tc>
        <w:tc>
          <w:tcPr>
            <w:tcW w:type="dxa" w:w="2158"/>
          </w:tcPr>
          <w:p>
            <w:pPr>
              <w:spacing w:after="20" w:before="20"/>
            </w:pPr>
            <w:r/>
            <w:r>
              <w:rPr>
                <w:rFonts w:ascii="Times New Roman" w:hAnsi="Times New Roman" w:eastAsia="宋体"/>
                <w:b w:val="0"/>
                <w:sz w:val="21"/>
              </w:rPr>
              <w:t>前40%</w:t>
            </w:r>
          </w:p>
        </w:tc>
        <w:tc>
          <w:tcPr>
            <w:tcW w:type="dxa" w:w="2158"/>
          </w:tcPr>
          <w:p>
            <w:pPr>
              <w:spacing w:after="20" w:before="20"/>
            </w:pPr>
            <w:r/>
            <w:r>
              <w:rPr>
                <w:rFonts w:ascii="Times New Roman" w:hAnsi="Times New Roman" w:eastAsia="宋体"/>
                <w:b w:val="0"/>
                <w:sz w:val="21"/>
              </w:rPr>
              <w:t>前40%</w:t>
            </w:r>
          </w:p>
        </w:tc>
        <w:tc>
          <w:tcPr>
            <w:tcW w:type="dxa" w:w="2158"/>
          </w:tcPr>
          <w:p>
            <w:pPr>
              <w:spacing w:after="20" w:before="20"/>
            </w:pPr>
            <w:r/>
            <w:r>
              <w:rPr>
                <w:rFonts w:ascii="Times New Roman" w:hAnsi="Times New Roman" w:eastAsia="宋体"/>
                <w:b w:val="0"/>
                <w:sz w:val="21"/>
              </w:rPr>
              <w:t>前60%</w:t>
            </w:r>
          </w:p>
        </w:tc>
      </w:tr>
      <w:tr>
        <w:tc>
          <w:tcPr>
            <w:tcW w:type="dxa" w:w="2158"/>
          </w:tcPr>
          <w:p>
            <w:pPr>
              <w:spacing w:after="20" w:before="20"/>
            </w:pPr>
            <w:r/>
            <w:r>
              <w:rPr>
                <w:rFonts w:ascii="Times New Roman" w:hAnsi="Times New Roman" w:eastAsia="宋体"/>
                <w:b w:val="0"/>
                <w:sz w:val="21"/>
              </w:rPr>
              <w:t>推免资格第五梯队候选人</w:t>
            </w:r>
          </w:p>
        </w:tc>
        <w:tc>
          <w:tcPr>
            <w:tcW w:type="dxa" w:w="2158"/>
          </w:tcPr>
          <w:p>
            <w:pPr>
              <w:spacing w:after="20" w:before="20"/>
            </w:pPr>
            <w:r/>
            <w:r>
              <w:rPr>
                <w:rFonts w:ascii="Times New Roman" w:hAnsi="Times New Roman" w:eastAsia="宋体"/>
                <w:b w:val="0"/>
                <w:sz w:val="21"/>
              </w:rPr>
              <w:t>前50%</w:t>
            </w:r>
          </w:p>
        </w:tc>
        <w:tc>
          <w:tcPr>
            <w:tcW w:type="dxa" w:w="2158"/>
          </w:tcPr>
          <w:p>
            <w:pPr>
              <w:spacing w:after="20" w:before="20"/>
            </w:pPr>
            <w:r/>
            <w:r>
              <w:rPr>
                <w:rFonts w:ascii="Times New Roman" w:hAnsi="Times New Roman" w:eastAsia="宋体"/>
                <w:b w:val="0"/>
                <w:sz w:val="21"/>
              </w:rPr>
              <w:t>前40%</w:t>
            </w:r>
          </w:p>
        </w:tc>
        <w:tc>
          <w:tcPr>
            <w:tcW w:type="dxa" w:w="2158"/>
          </w:tcPr>
          <w:p>
            <w:pPr>
              <w:spacing w:after="20" w:before="20"/>
            </w:pPr>
            <w:r/>
            <w:r>
              <w:rPr>
                <w:rFonts w:ascii="Times New Roman" w:hAnsi="Times New Roman" w:eastAsia="宋体"/>
                <w:b w:val="0"/>
                <w:sz w:val="21"/>
              </w:rPr>
              <w:t>前60%</w:t>
            </w:r>
          </w:p>
        </w:tc>
      </w:tr>
      <w:tr>
        <w:tc>
          <w:tcPr>
            <w:tcW w:type="dxa" w:w="2158"/>
          </w:tcPr>
          <w:p>
            <w:pPr>
              <w:spacing w:after="20" w:before="20"/>
            </w:pPr>
            <w:r/>
            <w:r>
              <w:rPr>
                <w:rFonts w:ascii="Times New Roman" w:hAnsi="Times New Roman" w:eastAsia="宋体"/>
                <w:b w:val="0"/>
                <w:sz w:val="21"/>
              </w:rPr>
              <w:t>推免资格第六梯队候选人</w:t>
            </w:r>
          </w:p>
        </w:tc>
        <w:tc>
          <w:tcPr>
            <w:tcW w:type="dxa" w:w="2158"/>
          </w:tcPr>
          <w:p>
            <w:pPr>
              <w:spacing w:after="20" w:before="20"/>
            </w:pPr>
            <w:r/>
            <w:r>
              <w:rPr>
                <w:rFonts w:ascii="Times New Roman" w:hAnsi="Times New Roman" w:eastAsia="宋体"/>
                <w:b w:val="0"/>
                <w:sz w:val="21"/>
              </w:rPr>
              <w:t>前50%</w:t>
            </w:r>
          </w:p>
        </w:tc>
        <w:tc>
          <w:tcPr>
            <w:tcW w:type="dxa" w:w="2158"/>
          </w:tcPr>
          <w:p>
            <w:pPr>
              <w:spacing w:after="20" w:before="20"/>
            </w:pPr>
            <w:r/>
            <w:r>
              <w:rPr>
                <w:rFonts w:ascii="Times New Roman" w:hAnsi="Times New Roman" w:eastAsia="宋体"/>
                <w:b w:val="0"/>
                <w:sz w:val="21"/>
              </w:rPr>
              <w:t>前50%</w:t>
            </w:r>
          </w:p>
        </w:tc>
        <w:tc>
          <w:tcPr>
            <w:tcW w:type="dxa" w:w="2158"/>
          </w:tcPr>
          <w:p>
            <w:pPr>
              <w:spacing w:after="20" w:before="20"/>
            </w:pPr>
            <w:r/>
            <w:r>
              <w:rPr>
                <w:rFonts w:ascii="Times New Roman" w:hAnsi="Times New Roman" w:eastAsia="宋体"/>
                <w:b w:val="0"/>
                <w:sz w:val="21"/>
              </w:rPr>
              <w:t>前60%</w:t>
            </w:r>
          </w:p>
        </w:tc>
      </w:tr>
      <w:tr>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