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line="360" w:lineRule="auto" w:before="240" w:after="160"/>
        <w:ind w:firstLine="0"/>
        <w:jc w:val="center"/>
      </w:pPr>
      <w:r>
        <w:rPr>
          <w:rFonts w:ascii="Times New Roman" w:hAnsi="Times New Roman" w:eastAsia="宋体"/>
          <w:b/>
          <w:sz w:val="32"/>
        </w:rPr>
        <w:t>四川外国语大学俄语学院2026年优秀本科生夏令营招生简章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四川外国语大学俄语学院2026年优秀本科生夏令营招生简章");var url=location.href;if(!organId||!organName){return}data.organId=organId;data.organName=organName;if(!siteId||!siteName){return}data.siteId=siteId;data.siteName=siteName;if(channelId&amp;&amp;channelName){data.channelId=channelId;data.channelName=channelName}if(articleId&amp;&amp;articleName){data.articleId=articleId;data.articleName=articleName}if(url){data.url=url}return data}catch(e){}};var req1=function(url,data){Ajax.post(url,data,function(re){})};var req2=function(url,data){Ajax.get(url,data,function(re){try{document.getElementById("visit_count").innerHTML=re.body.visitCount}catch(e){}})};var collect1=function(data){var url="https://cloud.gpowersoft.com/collector/visit/write";req1(url,data)};var collect2=function(data){var url="https://cloud.gpowersoft.com/collector/visit/total/article/get";var countData={};countData.organId=data.organId;countData.siteId=data.siteId;countData.articleId=data.articleId;req2(url,countData)};var visitTime;var ready123=function(){try{var data={};data.duration=10000;data=collect(data);collect1(data);collect2(data);visitTime=new Date().getTime()}catch(e){console.log(e.message)}};ready123();var flag=false;window.onbeforeunload=function(){try{flag=true;var data={};var now=new Date().getTime();if(visitTime&amp;&amp;now&gt;visitTime){data.duration=now-visitTime;data=collect(data);collect1(data)}}catch(e){console.log(e.message)}};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