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ind w:left="449"/>
        <w:spacing w:before="86" w:line="219" w:lineRule="auto"/>
        <w:outlineLvl w:val="0"/>
        <w:rPr>
          <w:rFonts w:ascii="SimSun" w:hAnsi="SimSun" w:eastAsia="SimSun" w:cs="SimSun"/>
          <w:sz w:val="44"/>
          <w:szCs w:val="44"/>
        </w:rPr>
      </w:pPr>
      <w:r>
        <w:rPr>
          <w:rFonts w:ascii="SimSun" w:hAnsi="SimSun" w:eastAsia="SimSun" w:cs="SimSun"/>
          <w:sz w:val="44"/>
          <w:szCs w:val="44"/>
          <w:b/>
          <w:bCs/>
          <w:spacing w:val="-28"/>
        </w:rPr>
        <w:t>清华大学2027年接收推荐免试研究生办法</w:t>
      </w:r>
    </w:p>
    <w:p>
      <w:pPr>
        <w:spacing w:line="361" w:lineRule="auto"/>
        <w:rPr>
          <w:rFonts w:ascii="Arial"/>
          <w:sz w:val="21"/>
        </w:rPr>
      </w:pPr>
      <w:r/>
    </w:p>
    <w:p>
      <w:pPr>
        <w:pStyle w:val="BodyText"/>
        <w:ind w:left="3" w:firstLine="539"/>
        <w:spacing w:before="91" w:line="378" w:lineRule="auto"/>
        <w:jc w:val="both"/>
        <w:rPr/>
      </w:pPr>
      <w:r>
        <w:rPr>
          <w:spacing w:val="6"/>
        </w:rPr>
        <w:t>清华大学通过推荐免试方式接收全国优秀应届本科毕业生攻读</w:t>
      </w:r>
      <w:r>
        <w:rPr>
          <w:spacing w:val="1"/>
        </w:rPr>
        <w:t xml:space="preserve">  </w:t>
      </w:r>
      <w:r>
        <w:rPr/>
        <w:t>硕士、博士学位。在推免生接收工作中，清华大学坚持公平、公正、</w:t>
      </w:r>
      <w:r>
        <w:rPr>
          <w:spacing w:val="18"/>
        </w:rPr>
        <w:t xml:space="preserve"> </w:t>
      </w:r>
      <w:r>
        <w:rPr>
          <w:spacing w:val="-4"/>
        </w:rPr>
        <w:t>公开的原则，全面衡量学生德、智、体、美、劳等素质，注重考核学</w:t>
      </w:r>
      <w:r>
        <w:rPr>
          <w:spacing w:val="1"/>
        </w:rPr>
        <w:t xml:space="preserve">  </w:t>
      </w:r>
      <w:r>
        <w:rPr>
          <w:spacing w:val="-2"/>
        </w:rPr>
        <w:t>生创新能力、实践能力和专业能力，综合评定、择优选拔。</w:t>
      </w:r>
    </w:p>
    <w:p>
      <w:pPr>
        <w:pStyle w:val="BodyText"/>
        <w:ind w:left="543"/>
        <w:spacing w:before="157" w:line="220" w:lineRule="auto"/>
        <w:rPr/>
      </w:pPr>
      <w:r>
        <w:rPr>
          <w:spacing w:val="-10"/>
        </w:rPr>
        <w:t>一</w:t>
      </w:r>
      <w:r>
        <w:rPr>
          <w:spacing w:val="-80"/>
        </w:rPr>
        <w:t xml:space="preserve"> </w:t>
      </w:r>
      <w:r>
        <w:rPr>
          <w:spacing w:val="-10"/>
        </w:rPr>
        <w:t>、申请条件</w:t>
      </w:r>
    </w:p>
    <w:p>
      <w:pPr>
        <w:pStyle w:val="BodyText"/>
        <w:ind w:left="3" w:right="148" w:firstLine="539"/>
        <w:spacing w:before="279" w:line="381" w:lineRule="auto"/>
        <w:rPr/>
      </w:pPr>
      <w:r>
        <w:rPr>
          <w:spacing w:val="-4"/>
        </w:rPr>
        <w:t>拥护中国共产党的领导、愿为祖国建设服务、品德良好、遵纪守</w:t>
      </w:r>
      <w:r>
        <w:rPr>
          <w:spacing w:val="2"/>
        </w:rPr>
        <w:t xml:space="preserve"> </w:t>
      </w:r>
      <w:r>
        <w:rPr>
          <w:spacing w:val="-4"/>
        </w:rPr>
        <w:t>法的中国公民，且满足以下条件：</w:t>
      </w:r>
    </w:p>
    <w:p>
      <w:pPr>
        <w:pStyle w:val="BodyText"/>
        <w:ind w:left="3" w:right="158" w:firstLine="539"/>
        <w:spacing w:before="1" w:line="302" w:lineRule="auto"/>
        <w:rPr/>
      </w:pPr>
      <w:r>
        <w:rPr>
          <w:rFonts w:ascii="Times New Roman" w:hAnsi="Times New Roman" w:eastAsia="Times New Roman" w:cs="Times New Roman"/>
          <w:spacing w:val="5"/>
        </w:rPr>
        <w:t>1. </w:t>
      </w:r>
      <w:r>
        <w:rPr>
          <w:spacing w:val="5"/>
        </w:rPr>
        <w:t>在目前就读学校取得教育部推荐免试研究生资格的优秀应届</w:t>
      </w:r>
      <w:r>
        <w:rPr>
          <w:spacing w:val="15"/>
        </w:rPr>
        <w:t xml:space="preserve"> </w:t>
      </w:r>
      <w:r>
        <w:rPr>
          <w:spacing w:val="-7"/>
        </w:rPr>
        <w:t>本科毕业生；</w:t>
      </w:r>
    </w:p>
    <w:p>
      <w:pPr>
        <w:pStyle w:val="BodyText"/>
        <w:ind w:left="543"/>
        <w:spacing w:before="255" w:line="222" w:lineRule="auto"/>
        <w:rPr/>
      </w:pPr>
      <w:r>
        <w:rPr>
          <w:rFonts w:ascii="Times New Roman" w:hAnsi="Times New Roman" w:eastAsia="Times New Roman" w:cs="Times New Roman"/>
          <w:spacing w:val="-1"/>
        </w:rPr>
        <w:t>2. </w:t>
      </w:r>
      <w:r>
        <w:rPr>
          <w:spacing w:val="-1"/>
        </w:rPr>
        <w:t>研究兴趣浓厚，有较强的创新意识、创新能力和专业能力；</w:t>
      </w:r>
    </w:p>
    <w:p>
      <w:pPr>
        <w:pStyle w:val="BodyText"/>
        <w:ind w:left="3" w:right="133" w:firstLine="539"/>
        <w:spacing w:before="260" w:line="296" w:lineRule="auto"/>
        <w:rPr/>
      </w:pPr>
      <w:r>
        <w:rPr>
          <w:rFonts w:ascii="Times New Roman" w:hAnsi="Times New Roman" w:eastAsia="Times New Roman" w:cs="Times New Roman"/>
          <w:spacing w:val="-3"/>
        </w:rPr>
        <w:t>3.</w:t>
      </w:r>
      <w:r>
        <w:rPr>
          <w:rFonts w:ascii="Times New Roman" w:hAnsi="Times New Roman" w:eastAsia="Times New Roman" w:cs="Times New Roman"/>
          <w:spacing w:val="-8"/>
        </w:rPr>
        <w:t xml:space="preserve"> </w:t>
      </w:r>
      <w:r>
        <w:rPr>
          <w:spacing w:val="-3"/>
        </w:rPr>
        <w:t>诚实守信，学风端正，不存在任何有违学术道德、专业伦理等</w:t>
      </w:r>
      <w:r>
        <w:rPr/>
        <w:t xml:space="preserve"> </w:t>
      </w:r>
      <w:r>
        <w:rPr>
          <w:spacing w:val="-5"/>
        </w:rPr>
        <w:t>行为；</w:t>
      </w:r>
    </w:p>
    <w:p>
      <w:pPr>
        <w:pStyle w:val="BodyText"/>
        <w:ind w:left="543"/>
        <w:spacing w:before="254" w:line="220" w:lineRule="auto"/>
        <w:rPr>
          <w:sz w:val="27"/>
          <w:szCs w:val="27"/>
        </w:rPr>
      </w:pPr>
      <w:r>
        <w:rPr>
          <w:rFonts w:ascii="Times New Roman" w:hAnsi="Times New Roman" w:eastAsia="Times New Roman" w:cs="Times New Roman"/>
          <w:sz w:val="27"/>
          <w:szCs w:val="27"/>
          <w:spacing w:val="8"/>
        </w:rPr>
        <w:t>4. </w:t>
      </w:r>
      <w:r>
        <w:rPr>
          <w:sz w:val="27"/>
          <w:szCs w:val="27"/>
          <w:spacing w:val="8"/>
        </w:rPr>
        <w:t>身心健康，符合国家和我校规定的体检要求。</w:t>
      </w:r>
    </w:p>
    <w:p>
      <w:pPr>
        <w:spacing w:line="275" w:lineRule="auto"/>
        <w:rPr>
          <w:rFonts w:ascii="Arial"/>
          <w:sz w:val="21"/>
        </w:rPr>
      </w:pPr>
      <w:r/>
    </w:p>
    <w:p>
      <w:pPr>
        <w:pStyle w:val="BodyText"/>
        <w:ind w:left="543"/>
        <w:spacing w:before="92" w:line="220" w:lineRule="auto"/>
        <w:rPr/>
      </w:pPr>
      <w:r>
        <w:rPr/>
        <w:t>二、申请流程</w:t>
      </w:r>
    </w:p>
    <w:p>
      <w:pPr>
        <w:pStyle w:val="BodyText"/>
        <w:ind w:left="3" w:right="132" w:firstLine="539"/>
        <w:spacing w:before="241" w:line="395" w:lineRule="auto"/>
        <w:jc w:val="both"/>
        <w:rPr/>
      </w:pPr>
      <w:r>
        <w:rPr>
          <w:spacing w:val="6"/>
        </w:rPr>
        <w:t>见清华大学研究生招生网(</w:t>
      </w:r>
      <w:r>
        <w:rPr>
          <w:spacing w:val="-61"/>
        </w:rPr>
        <w:t xml:space="preserve"> </w:t>
      </w:r>
      <w:hyperlink w:history="true" r:id="rId2">
        <w:r>
          <w:rPr>
            <w:rFonts w:ascii="Times New Roman" w:hAnsi="Times New Roman" w:eastAsia="Times New Roman" w:cs="Times New Roman"/>
            <w:u w:val="single" w:color="auto"/>
            <w:color w:val="1050C0"/>
          </w:rPr>
          <w:t>http</w:t>
        </w:r>
        <w:r>
          <w:rPr>
            <w:rFonts w:ascii="Times New Roman" w:hAnsi="Times New Roman" w:eastAsia="Times New Roman" w:cs="Times New Roman"/>
            <w:u w:val="single" w:color="auto"/>
            <w:color w:val="1050C0"/>
            <w:spacing w:val="6"/>
          </w:rPr>
          <w:t>://</w:t>
        </w:r>
        <w:r>
          <w:rPr>
            <w:rFonts w:ascii="Times New Roman" w:hAnsi="Times New Roman" w:eastAsia="Times New Roman" w:cs="Times New Roman"/>
            <w:u w:val="single" w:color="auto"/>
            <w:color w:val="1050C0"/>
          </w:rPr>
          <w:t>yz</w:t>
        </w:r>
        <w:r>
          <w:rPr>
            <w:rFonts w:ascii="Times New Roman" w:hAnsi="Times New Roman" w:eastAsia="Times New Roman" w:cs="Times New Roman"/>
            <w:u w:val="single" w:color="auto"/>
            <w:color w:val="1050C0"/>
            <w:spacing w:val="6"/>
          </w:rPr>
          <w:t>.</w:t>
        </w:r>
        <w:r>
          <w:rPr>
            <w:rFonts w:ascii="Times New Roman" w:hAnsi="Times New Roman" w:eastAsia="Times New Roman" w:cs="Times New Roman"/>
            <w:u w:val="single" w:color="auto"/>
            <w:color w:val="1050C0"/>
          </w:rPr>
          <w:t>tsinghua</w:t>
        </w:r>
        <w:r>
          <w:rPr>
            <w:rFonts w:ascii="Times New Roman" w:hAnsi="Times New Roman" w:eastAsia="Times New Roman" w:cs="Times New Roman"/>
            <w:u w:val="single" w:color="auto"/>
            <w:color w:val="1050C0"/>
            <w:spacing w:val="6"/>
          </w:rPr>
          <w:t>.</w:t>
        </w:r>
        <w:r>
          <w:rPr>
            <w:rFonts w:ascii="Times New Roman" w:hAnsi="Times New Roman" w:eastAsia="Times New Roman" w:cs="Times New Roman"/>
            <w:u w:val="single" w:color="auto"/>
            <w:color w:val="1050C0"/>
          </w:rPr>
          <w:t>edu</w:t>
        </w:r>
        <w:r>
          <w:rPr>
            <w:rFonts w:ascii="Times New Roman" w:hAnsi="Times New Roman" w:eastAsia="Times New Roman" w:cs="Times New Roman"/>
            <w:u w:val="single" w:color="auto"/>
            <w:color w:val="1050C0"/>
            <w:spacing w:val="6"/>
          </w:rPr>
          <w:t>.</w:t>
        </w:r>
        <w:r>
          <w:rPr>
            <w:rFonts w:ascii="Times New Roman" w:hAnsi="Times New Roman" w:eastAsia="Times New Roman" w:cs="Times New Roman"/>
            <w:u w:val="single" w:color="auto"/>
            <w:color w:val="1050C0"/>
          </w:rPr>
          <w:t>cn</w:t>
        </w:r>
      </w:hyperlink>
      <w:r>
        <w:rPr>
          <w:rFonts w:ascii="Times New Roman" w:hAnsi="Times New Roman" w:eastAsia="Times New Roman" w:cs="Times New Roman"/>
          <w:color w:val="1050C0"/>
          <w:spacing w:val="6"/>
        </w:rPr>
        <w:t xml:space="preserve">  </w:t>
      </w:r>
      <w:r>
        <w:rPr>
          <w:rFonts w:ascii="Times New Roman" w:hAnsi="Times New Roman" w:eastAsia="Times New Roman" w:cs="Times New Roman"/>
          <w:color w:val="1050C0"/>
          <w:spacing w:val="5"/>
        </w:rPr>
        <w:t xml:space="preserve">    )</w:t>
      </w:r>
      <w:r>
        <w:rPr>
          <w:rFonts w:ascii="Times New Roman" w:hAnsi="Times New Roman" w:eastAsia="Times New Roman" w:cs="Times New Roman"/>
          <w:color w:val="1050C0"/>
          <w:spacing w:val="16"/>
        </w:rPr>
        <w:t xml:space="preserve">  </w:t>
      </w:r>
      <w:r>
        <w:rPr>
          <w:spacing w:val="5"/>
        </w:rPr>
        <w:t>发布的</w:t>
      </w:r>
      <w:r>
        <w:rPr>
          <w:spacing w:val="1"/>
        </w:rPr>
        <w:t xml:space="preserve"> </w:t>
      </w:r>
      <w:r>
        <w:rPr>
          <w:spacing w:val="4"/>
        </w:rPr>
        <w:t>《清华大学2027年接收优秀应届本科毕业生免试攻读研究生报名通</w:t>
      </w:r>
      <w:r>
        <w:rPr>
          <w:spacing w:val="15"/>
        </w:rPr>
        <w:t xml:space="preserve"> </w:t>
      </w:r>
      <w:r>
        <w:rPr>
          <w:spacing w:val="-28"/>
        </w:rPr>
        <w:t>知</w:t>
      </w:r>
      <w:r>
        <w:rPr>
          <w:spacing w:val="-28"/>
        </w:rPr>
        <w:t xml:space="preserve"> </w:t>
      </w:r>
      <w:r>
        <w:rPr>
          <w:spacing w:val="-28"/>
        </w:rPr>
        <w:t>》</w:t>
      </w:r>
      <w:r>
        <w:rPr>
          <w:spacing w:val="24"/>
        </w:rPr>
        <w:t xml:space="preserve"> </w:t>
      </w:r>
      <w:r>
        <w:rPr>
          <w:spacing w:val="-28"/>
        </w:rPr>
        <w:t>。</w:t>
      </w:r>
      <w:r>
        <w:rPr>
          <w:spacing w:val="-28"/>
        </w:rPr>
        <w:t xml:space="preserve"> </w:t>
      </w:r>
      <w:r>
        <w:rPr>
          <w:spacing w:val="-28"/>
        </w:rPr>
        <w:t>清</w:t>
      </w:r>
      <w:r>
        <w:rPr>
          <w:spacing w:val="60"/>
        </w:rPr>
        <w:t xml:space="preserve"> </w:t>
      </w:r>
      <w:r>
        <w:rPr>
          <w:spacing w:val="-28"/>
        </w:rPr>
        <w:t>华</w:t>
      </w:r>
      <w:r>
        <w:rPr>
          <w:spacing w:val="57"/>
        </w:rPr>
        <w:t xml:space="preserve"> </w:t>
      </w:r>
      <w:r>
        <w:rPr>
          <w:spacing w:val="-28"/>
        </w:rPr>
        <w:t>大</w:t>
      </w:r>
      <w:r>
        <w:rPr>
          <w:spacing w:val="64"/>
        </w:rPr>
        <w:t xml:space="preserve"> </w:t>
      </w:r>
      <w:r>
        <w:rPr>
          <w:spacing w:val="-28"/>
        </w:rPr>
        <w:t>学</w:t>
      </w:r>
      <w:r>
        <w:rPr>
          <w:spacing w:val="52"/>
        </w:rPr>
        <w:t xml:space="preserve"> </w:t>
      </w:r>
      <w:r>
        <w:rPr>
          <w:spacing w:val="-28"/>
        </w:rPr>
        <w:t>研</w:t>
      </w:r>
      <w:r>
        <w:rPr>
          <w:spacing w:val="-28"/>
        </w:rPr>
        <w:t xml:space="preserve">  </w:t>
      </w:r>
      <w:r>
        <w:rPr>
          <w:spacing w:val="-28"/>
        </w:rPr>
        <w:t>究</w:t>
      </w:r>
      <w:r>
        <w:rPr>
          <w:spacing w:val="70"/>
        </w:rPr>
        <w:t xml:space="preserve"> </w:t>
      </w:r>
      <w:r>
        <w:rPr>
          <w:spacing w:val="-28"/>
        </w:rPr>
        <w:t>生</w:t>
      </w:r>
      <w:r>
        <w:rPr>
          <w:spacing w:val="92"/>
        </w:rPr>
        <w:t xml:space="preserve"> </w:t>
      </w:r>
      <w:r>
        <w:rPr>
          <w:spacing w:val="-28"/>
        </w:rPr>
        <w:t>申</w:t>
      </w:r>
      <w:r>
        <w:rPr>
          <w:spacing w:val="52"/>
        </w:rPr>
        <w:t xml:space="preserve"> </w:t>
      </w:r>
      <w:r>
        <w:rPr>
          <w:spacing w:val="-28"/>
        </w:rPr>
        <w:t>请</w:t>
      </w:r>
      <w:r>
        <w:rPr>
          <w:spacing w:val="58"/>
        </w:rPr>
        <w:t xml:space="preserve"> </w:t>
      </w:r>
      <w:r>
        <w:rPr>
          <w:spacing w:val="-28"/>
        </w:rPr>
        <w:t>服</w:t>
      </w:r>
      <w:r>
        <w:rPr>
          <w:spacing w:val="66"/>
        </w:rPr>
        <w:t xml:space="preserve"> </w:t>
      </w:r>
      <w:r>
        <w:rPr>
          <w:spacing w:val="-28"/>
        </w:rPr>
        <w:t>务</w:t>
      </w:r>
      <w:r>
        <w:rPr>
          <w:spacing w:val="69"/>
        </w:rPr>
        <w:t xml:space="preserve"> </w:t>
      </w:r>
      <w:r>
        <w:rPr>
          <w:spacing w:val="-28"/>
        </w:rPr>
        <w:t>系</w:t>
      </w:r>
      <w:r>
        <w:rPr>
          <w:spacing w:val="65"/>
        </w:rPr>
        <w:t xml:space="preserve"> </w:t>
      </w:r>
      <w:r>
        <w:rPr>
          <w:spacing w:val="-28"/>
        </w:rPr>
        <w:t>统</w:t>
      </w:r>
      <w:r>
        <w:rPr>
          <w:spacing w:val="89"/>
        </w:rPr>
        <w:t xml:space="preserve"> </w:t>
      </w:r>
      <w:r>
        <w:rPr>
          <w:spacing w:val="-28"/>
        </w:rPr>
        <w:t>网</w:t>
      </w:r>
      <w:r>
        <w:rPr>
          <w:spacing w:val="64"/>
        </w:rPr>
        <w:t xml:space="preserve"> </w:t>
      </w:r>
      <w:r>
        <w:rPr>
          <w:spacing w:val="-28"/>
        </w:rPr>
        <w:t>址</w:t>
      </w:r>
      <w:r>
        <w:rPr>
          <w:spacing w:val="41"/>
        </w:rPr>
        <w:t xml:space="preserve"> </w:t>
      </w:r>
      <w:r>
        <w:rPr>
          <w:spacing w:val="-28"/>
        </w:rPr>
        <w:t>：</w:t>
      </w:r>
    </w:p>
    <w:p>
      <w:pPr>
        <w:ind w:left="3"/>
        <w:spacing w:before="25" w:line="183" w:lineRule="auto"/>
        <w:rPr>
          <w:rFonts w:ascii="SimSun" w:hAnsi="SimSun" w:eastAsia="SimSun" w:cs="SimSun"/>
          <w:sz w:val="28"/>
          <w:szCs w:val="28"/>
        </w:rPr>
      </w:pPr>
      <w:hyperlink w:history="true" r:id="rId3">
        <w:r>
          <w:rPr>
            <w:rFonts w:ascii="Times New Roman" w:hAnsi="Times New Roman" w:eastAsia="Times New Roman" w:cs="Times New Roman"/>
            <w:sz w:val="28"/>
            <w:szCs w:val="28"/>
            <w:u w:val="single" w:color="auto"/>
            <w:color w:val="1050C0"/>
          </w:rPr>
          <w:t>https</w:t>
        </w:r>
        <w:r>
          <w:rPr>
            <w:rFonts w:ascii="Times New Roman" w:hAnsi="Times New Roman" w:eastAsia="Times New Roman" w:cs="Times New Roman"/>
            <w:sz w:val="28"/>
            <w:szCs w:val="28"/>
            <w:u w:val="single" w:color="auto"/>
            <w:color w:val="1050C0"/>
            <w:spacing w:val="1"/>
          </w:rPr>
          <w:t>://</w:t>
        </w:r>
        <w:r>
          <w:rPr>
            <w:rFonts w:ascii="Times New Roman" w:hAnsi="Times New Roman" w:eastAsia="Times New Roman" w:cs="Times New Roman"/>
            <w:sz w:val="28"/>
            <w:szCs w:val="28"/>
            <w:u w:val="single" w:color="auto"/>
            <w:color w:val="1050C0"/>
          </w:rPr>
          <w:t>yzbm</w:t>
        </w:r>
        <w:r>
          <w:rPr>
            <w:rFonts w:ascii="Times New Roman" w:hAnsi="Times New Roman" w:eastAsia="Times New Roman" w:cs="Times New Roman"/>
            <w:sz w:val="28"/>
            <w:szCs w:val="28"/>
            <w:u w:val="single" w:color="auto"/>
            <w:color w:val="1050C0"/>
            <w:spacing w:val="1"/>
          </w:rPr>
          <w:t>.</w:t>
        </w:r>
        <w:r>
          <w:rPr>
            <w:rFonts w:ascii="Times New Roman" w:hAnsi="Times New Roman" w:eastAsia="Times New Roman" w:cs="Times New Roman"/>
            <w:sz w:val="28"/>
            <w:szCs w:val="28"/>
            <w:u w:val="single" w:color="auto"/>
            <w:color w:val="1050C0"/>
          </w:rPr>
          <w:t>tsinghua</w:t>
        </w:r>
        <w:r>
          <w:rPr>
            <w:rFonts w:ascii="Times New Roman" w:hAnsi="Times New Roman" w:eastAsia="Times New Roman" w:cs="Times New Roman"/>
            <w:sz w:val="28"/>
            <w:szCs w:val="28"/>
            <w:u w:val="single" w:color="auto"/>
            <w:color w:val="1050C0"/>
            <w:spacing w:val="1"/>
          </w:rPr>
          <w:t>.</w:t>
        </w:r>
        <w:r>
          <w:rPr>
            <w:rFonts w:ascii="Times New Roman" w:hAnsi="Times New Roman" w:eastAsia="Times New Roman" w:cs="Times New Roman"/>
            <w:sz w:val="28"/>
            <w:szCs w:val="28"/>
            <w:u w:val="single" w:color="auto"/>
            <w:color w:val="1050C0"/>
          </w:rPr>
          <w:t>edu</w:t>
        </w:r>
        <w:r>
          <w:rPr>
            <w:rFonts w:ascii="Times New Roman" w:hAnsi="Times New Roman" w:eastAsia="Times New Roman" w:cs="Times New Roman"/>
            <w:sz w:val="28"/>
            <w:szCs w:val="28"/>
            <w:u w:val="single" w:color="auto"/>
            <w:color w:val="1050C0"/>
            <w:spacing w:val="1"/>
          </w:rPr>
          <w:t>.</w:t>
        </w:r>
        <w:r>
          <w:rPr>
            <w:rFonts w:ascii="Times New Roman" w:hAnsi="Times New Roman" w:eastAsia="Times New Roman" w:cs="Times New Roman"/>
            <w:sz w:val="28"/>
            <w:szCs w:val="28"/>
            <w:u w:val="single" w:color="auto"/>
            <w:color w:val="1050C0"/>
          </w:rPr>
          <w:t>cn</w:t>
        </w:r>
        <w:r>
          <w:rPr>
            <w:rFonts w:ascii="Times New Roman" w:hAnsi="Times New Roman" w:eastAsia="Times New Roman" w:cs="Times New Roman"/>
            <w:sz w:val="28"/>
            <w:szCs w:val="28"/>
            <w:u w:val="single" w:color="auto"/>
            <w:color w:val="1050C0"/>
            <w:spacing w:val="1"/>
          </w:rPr>
          <w:t>/</w:t>
        </w:r>
      </w:hyperlink>
      <w:r>
        <w:rPr>
          <w:rFonts w:ascii="Times New Roman" w:hAnsi="Times New Roman" w:eastAsia="Times New Roman" w:cs="Times New Roman"/>
          <w:sz w:val="28"/>
          <w:szCs w:val="28"/>
          <w:color w:val="1050C0"/>
          <w:spacing w:val="1"/>
        </w:rPr>
        <w:t xml:space="preserve">      </w:t>
      </w:r>
      <w:r>
        <w:rPr>
          <w:rFonts w:ascii="SimSun" w:hAnsi="SimSun" w:eastAsia="SimSun" w:cs="SimSun"/>
          <w:sz w:val="28"/>
          <w:szCs w:val="28"/>
          <w:color w:val="1050C0"/>
          <w:spacing w:val="1"/>
        </w:rPr>
        <w:t>。</w:t>
      </w:r>
    </w:p>
    <w:p>
      <w:pPr>
        <w:spacing w:line="282" w:lineRule="auto"/>
        <w:rPr>
          <w:rFonts w:ascii="Arial"/>
          <w:sz w:val="21"/>
        </w:rPr>
      </w:pPr>
      <w:r/>
    </w:p>
    <w:p>
      <w:pPr>
        <w:pStyle w:val="BodyText"/>
        <w:ind w:left="543"/>
        <w:spacing w:before="91" w:line="220" w:lineRule="auto"/>
        <w:rPr/>
      </w:pPr>
      <w:r>
        <w:rPr>
          <w:spacing w:val="-1"/>
        </w:rPr>
        <w:t>三、材料审核与综合考核</w:t>
      </w:r>
    </w:p>
    <w:p>
      <w:pPr>
        <w:pStyle w:val="BodyText"/>
        <w:ind w:left="3" w:right="19" w:firstLine="539"/>
        <w:spacing w:before="287" w:line="368" w:lineRule="auto"/>
        <w:rPr/>
      </w:pPr>
      <w:r>
        <w:rPr>
          <w:rFonts w:ascii="Times New Roman" w:hAnsi="Times New Roman" w:eastAsia="Times New Roman" w:cs="Times New Roman"/>
          <w:spacing w:val="1"/>
        </w:rPr>
        <w:t>1. </w:t>
      </w:r>
      <w:r>
        <w:rPr>
          <w:spacing w:val="1"/>
        </w:rPr>
        <w:t>各院系组织专家进行材料审核，择优</w:t>
      </w:r>
      <w:r>
        <w:rPr/>
        <w:t>入围后续环节综合考核。</w:t>
      </w:r>
      <w:r>
        <w:rPr/>
        <w:t xml:space="preserve"> </w:t>
      </w:r>
      <w:r>
        <w:rPr>
          <w:spacing w:val="5"/>
        </w:rPr>
        <w:t>入围综合考核的申请人应在参加综合考核前通过我校研究生申请服</w:t>
      </w:r>
    </w:p>
    <w:p>
      <w:pPr>
        <w:spacing w:line="368" w:lineRule="auto"/>
        <w:sectPr>
          <w:footerReference w:type="default" r:id="rId1"/>
          <w:pgSz w:w="11910" w:h="16840"/>
          <w:pgMar w:top="1332" w:right="1700" w:bottom="1394" w:left="1786" w:header="0" w:footer="1220" w:gutter="0"/>
        </w:sectPr>
        <w:rPr/>
      </w:pPr>
    </w:p>
    <w:p>
      <w:pPr>
        <w:pStyle w:val="BodyText"/>
        <w:spacing w:before="249" w:line="223" w:lineRule="auto"/>
        <w:rPr/>
      </w:pPr>
      <w:r>
        <w:rPr>
          <w:spacing w:val="7"/>
        </w:rPr>
        <w:t>务系统交纳复试费100元/人。</w:t>
      </w:r>
    </w:p>
    <w:p>
      <w:pPr>
        <w:pStyle w:val="BodyText"/>
        <w:ind w:right="60" w:firstLine="529"/>
        <w:spacing w:before="226" w:line="308" w:lineRule="auto"/>
        <w:rPr/>
      </w:pPr>
      <w:r>
        <w:rPr>
          <w:rFonts w:ascii="Times New Roman" w:hAnsi="Times New Roman" w:eastAsia="Times New Roman" w:cs="Times New Roman"/>
          <w:spacing w:val="-3"/>
        </w:rPr>
        <w:t>2. </w:t>
      </w:r>
      <w:r>
        <w:rPr>
          <w:spacing w:val="-3"/>
        </w:rPr>
        <w:t>综合考核应采取差额形式，择优录取。具体</w:t>
      </w:r>
      <w:r>
        <w:rPr>
          <w:spacing w:val="-4"/>
        </w:rPr>
        <w:t>差额比例、考核形</w:t>
      </w:r>
      <w:r>
        <w:rPr/>
        <w:t xml:space="preserve">  </w:t>
      </w:r>
      <w:r>
        <w:rPr/>
        <w:t>式和考核实施细则由各院系根据其学科特点和生源状况确定后公布。</w:t>
      </w:r>
    </w:p>
    <w:p>
      <w:pPr>
        <w:pStyle w:val="BodyText"/>
        <w:ind w:right="211" w:firstLine="529"/>
        <w:spacing w:before="238" w:line="306" w:lineRule="auto"/>
        <w:rPr/>
      </w:pPr>
      <w:r>
        <w:rPr>
          <w:rFonts w:ascii="Times New Roman" w:hAnsi="Times New Roman" w:eastAsia="Times New Roman" w:cs="Times New Roman"/>
          <w:spacing w:val="13"/>
        </w:rPr>
        <w:t>3.</w:t>
      </w:r>
      <w:r>
        <w:rPr>
          <w:spacing w:val="13"/>
        </w:rPr>
        <w:t>综合考核成绩满分100分，综合考核成绩低于60分者</w:t>
      </w:r>
      <w:r>
        <w:rPr>
          <w:spacing w:val="12"/>
        </w:rPr>
        <w:t>不予录</w:t>
      </w:r>
      <w:r>
        <w:rPr/>
        <w:t xml:space="preserve"> </w:t>
      </w:r>
      <w:r>
        <w:rPr>
          <w:spacing w:val="-10"/>
        </w:rPr>
        <w:t>取。</w:t>
      </w:r>
    </w:p>
    <w:p>
      <w:pPr>
        <w:pStyle w:val="BodyText"/>
        <w:ind w:right="89" w:firstLine="529"/>
        <w:spacing w:before="258" w:line="337" w:lineRule="auto"/>
        <w:rPr/>
      </w:pPr>
      <w:r>
        <w:rPr>
          <w:rFonts w:ascii="Times New Roman" w:hAnsi="Times New Roman" w:eastAsia="Times New Roman" w:cs="Times New Roman"/>
          <w:spacing w:val="-4"/>
        </w:rPr>
        <w:t>4.</w:t>
      </w:r>
      <w:r>
        <w:rPr>
          <w:rFonts w:ascii="Times New Roman" w:hAnsi="Times New Roman" w:eastAsia="Times New Roman" w:cs="Times New Roman"/>
          <w:spacing w:val="45"/>
        </w:rPr>
        <w:t xml:space="preserve"> </w:t>
      </w:r>
      <w:r>
        <w:rPr>
          <w:spacing w:val="-4"/>
        </w:rPr>
        <w:t>申请人应按院系要求进行资格审查并参加综合考核。综</w:t>
      </w:r>
      <w:r>
        <w:rPr>
          <w:spacing w:val="-5"/>
        </w:rPr>
        <w:t>合考核</w:t>
      </w:r>
      <w:r>
        <w:rPr/>
        <w:t xml:space="preserve"> </w:t>
      </w:r>
      <w:r>
        <w:rPr>
          <w:spacing w:val="-5"/>
        </w:rPr>
        <w:t>方式为线下方式的，按院系要求准时到指定地点参加考核；综合考核</w:t>
      </w:r>
      <w:r>
        <w:rPr>
          <w:spacing w:val="8"/>
        </w:rPr>
        <w:t xml:space="preserve">  </w:t>
      </w:r>
      <w:r>
        <w:rPr/>
        <w:t>方式为线上方式的，申请人应按院系要求做</w:t>
      </w:r>
      <w:r>
        <w:rPr>
          <w:spacing w:val="-1"/>
        </w:rPr>
        <w:t>好线上考核的考场场地、</w:t>
      </w:r>
      <w:r>
        <w:rPr/>
        <w:t xml:space="preserve"> </w:t>
      </w:r>
      <w:r>
        <w:rPr>
          <w:spacing w:val="-2"/>
        </w:rPr>
        <w:t>软硬件、网络等各方面准备工作，按时参加线上考核。</w:t>
      </w:r>
    </w:p>
    <w:p>
      <w:pPr>
        <w:spacing w:line="274" w:lineRule="auto"/>
        <w:rPr>
          <w:rFonts w:ascii="Arial"/>
          <w:sz w:val="21"/>
        </w:rPr>
      </w:pPr>
      <w:r/>
    </w:p>
    <w:p>
      <w:pPr>
        <w:pStyle w:val="BodyText"/>
        <w:ind w:left="529"/>
        <w:spacing w:before="94" w:line="222" w:lineRule="auto"/>
        <w:rPr>
          <w:sz w:val="29"/>
          <w:szCs w:val="29"/>
        </w:rPr>
      </w:pPr>
      <w:r>
        <w:rPr>
          <w:sz w:val="29"/>
          <w:szCs w:val="29"/>
          <w:spacing w:val="-11"/>
        </w:rPr>
        <w:t>四、初步录取确认</w:t>
      </w:r>
    </w:p>
    <w:p>
      <w:pPr>
        <w:pStyle w:val="BodyText"/>
        <w:ind w:right="90" w:firstLine="529"/>
        <w:spacing w:before="266" w:line="381" w:lineRule="auto"/>
        <w:jc w:val="both"/>
        <w:rPr/>
      </w:pPr>
      <w:r>
        <w:rPr>
          <w:spacing w:val="6"/>
        </w:rPr>
        <w:t>院系通过清华大学研究生申请服务系统向拟接收的申请人发送</w:t>
      </w:r>
      <w:r>
        <w:rPr/>
        <w:t xml:space="preserve">  </w:t>
      </w:r>
      <w:r>
        <w:rPr>
          <w:spacing w:val="-4"/>
        </w:rPr>
        <w:t>初步录取意向通知并明确规定该意向的有效</w:t>
      </w:r>
      <w:r>
        <w:rPr>
          <w:spacing w:val="-5"/>
        </w:rPr>
        <w:t>时间，申请人应在院系规</w:t>
      </w:r>
      <w:r>
        <w:rPr/>
        <w:t xml:space="preserve"> </w:t>
      </w:r>
      <w:r>
        <w:rPr>
          <w:spacing w:val="-18"/>
        </w:rPr>
        <w:t>定的有效时间内登录系统谨慎确认初步录取意向的“接受”或“拒绝”。</w:t>
      </w:r>
    </w:p>
    <w:p>
      <w:pPr>
        <w:pStyle w:val="BodyText"/>
        <w:ind w:left="989" w:right="209" w:hanging="460"/>
        <w:spacing w:before="1" w:line="297" w:lineRule="auto"/>
        <w:rPr/>
      </w:pPr>
      <w:r>
        <w:rPr>
          <w:spacing w:val="12"/>
        </w:rPr>
        <w:t>●一经确认“接受”,视为放弃其他志愿的初步录</w:t>
      </w:r>
      <w:r>
        <w:rPr>
          <w:spacing w:val="11"/>
        </w:rPr>
        <w:t>取，系统将</w:t>
      </w:r>
      <w:r>
        <w:rPr/>
        <w:t xml:space="preserve"> </w:t>
      </w:r>
      <w:r>
        <w:rPr>
          <w:spacing w:val="-2"/>
        </w:rPr>
        <w:t>不再向申请人发送其他志愿初步录取意向信息。</w:t>
      </w:r>
    </w:p>
    <w:p>
      <w:pPr>
        <w:pStyle w:val="BodyText"/>
        <w:ind w:left="529"/>
        <w:spacing w:before="270" w:line="222" w:lineRule="auto"/>
        <w:rPr/>
      </w:pPr>
      <w:r>
        <w:rPr>
          <w:spacing w:val="11"/>
        </w:rPr>
        <w:t>●一经确认“拒绝”,视为放弃该志愿的初</w:t>
      </w:r>
      <w:r>
        <w:rPr>
          <w:spacing w:val="10"/>
        </w:rPr>
        <w:t>步录取。</w:t>
      </w:r>
    </w:p>
    <w:p>
      <w:pPr>
        <w:pStyle w:val="BodyText"/>
        <w:ind w:left="999" w:right="220" w:hanging="470"/>
        <w:spacing w:before="227" w:line="302" w:lineRule="auto"/>
        <w:rPr/>
      </w:pPr>
      <w:r>
        <w:rPr>
          <w:spacing w:val="6"/>
        </w:rPr>
        <w:t>●如在院系规定时间内申请人未对该初步录取意向信息进行确</w:t>
      </w:r>
      <w:r>
        <w:rPr>
          <w:spacing w:val="6"/>
        </w:rPr>
        <w:t xml:space="preserve"> </w:t>
      </w:r>
      <w:r>
        <w:rPr>
          <w:spacing w:val="-5"/>
        </w:rPr>
        <w:t>认操作，则视为放弃此志愿。</w:t>
      </w:r>
    </w:p>
    <w:p>
      <w:pPr>
        <w:pStyle w:val="BodyText"/>
        <w:ind w:firstLine="529"/>
        <w:spacing w:before="226" w:line="381" w:lineRule="auto"/>
        <w:jc w:val="both"/>
        <w:rPr/>
      </w:pPr>
      <w:r>
        <w:rPr>
          <w:spacing w:val="-6"/>
        </w:rPr>
        <w:t>院系发布初步录取意向时，将同步通过短信和邮件方式发送提醒，</w:t>
      </w:r>
      <w:r>
        <w:rPr>
          <w:spacing w:val="3"/>
        </w:rPr>
        <w:t xml:space="preserve"> </w:t>
      </w:r>
      <w:r>
        <w:rPr>
          <w:spacing w:val="-4"/>
        </w:rPr>
        <w:t>请申请人保持关注并在院系规定的有效时间内及</w:t>
      </w:r>
      <w:r>
        <w:rPr>
          <w:spacing w:val="-5"/>
        </w:rPr>
        <w:t>时处理，避免错过初</w:t>
      </w:r>
      <w:r>
        <w:rPr/>
        <w:t xml:space="preserve">  </w:t>
      </w:r>
      <w:r>
        <w:rPr>
          <w:spacing w:val="-12"/>
        </w:rPr>
        <w:t>步录取。</w:t>
      </w:r>
    </w:p>
    <w:p>
      <w:pPr>
        <w:pStyle w:val="BodyText"/>
        <w:ind w:left="529"/>
        <w:spacing w:before="151" w:line="222" w:lineRule="auto"/>
        <w:rPr>
          <w:sz w:val="29"/>
          <w:szCs w:val="29"/>
        </w:rPr>
      </w:pPr>
      <w:r>
        <w:rPr>
          <w:sz w:val="29"/>
          <w:szCs w:val="29"/>
          <w:spacing w:val="-10"/>
        </w:rPr>
        <w:t>五、资格复审</w:t>
      </w:r>
    </w:p>
    <w:p>
      <w:pPr>
        <w:pStyle w:val="BodyText"/>
        <w:ind w:left="529"/>
        <w:spacing w:before="237" w:line="220" w:lineRule="auto"/>
        <w:rPr/>
      </w:pPr>
      <w:r>
        <w:rPr>
          <w:spacing w:val="6"/>
        </w:rPr>
        <w:t>我校将于发放录取通知书前对同意接收并已履行正式报名手续</w:t>
      </w:r>
    </w:p>
    <w:p>
      <w:pPr>
        <w:spacing w:line="220" w:lineRule="auto"/>
        <w:sectPr>
          <w:footerReference w:type="default" r:id="rId4"/>
          <w:pgSz w:w="11910" w:h="16840"/>
          <w:pgMar w:top="1431" w:right="1649" w:bottom="1410" w:left="1779" w:header="0" w:footer="1238" w:gutter="0"/>
        </w:sectPr>
        <w:rPr/>
      </w:pPr>
    </w:p>
    <w:p>
      <w:pPr>
        <w:pStyle w:val="BodyText"/>
        <w:ind w:left="3"/>
        <w:spacing w:before="222" w:line="388" w:lineRule="auto"/>
        <w:jc w:val="both"/>
        <w:rPr/>
      </w:pPr>
      <w:r>
        <w:rPr/>
        <w:t>的推免生进行资格复审。通过资格复审并经我校调档案审查合格</w:t>
      </w:r>
      <w:r>
        <w:rPr>
          <w:spacing w:val="-1"/>
        </w:rPr>
        <w:t>后，</w:t>
      </w:r>
      <w:r>
        <w:rPr/>
        <w:t xml:space="preserve"> </w:t>
      </w:r>
      <w:r>
        <w:rPr>
          <w:spacing w:val="-4"/>
        </w:rPr>
        <w:t>方可被正式录取，我校予以发放录取通知书。未通过资格复</w:t>
      </w:r>
      <w:r>
        <w:rPr>
          <w:spacing w:val="-5"/>
        </w:rPr>
        <w:t>审者，取</w:t>
      </w:r>
      <w:r>
        <w:rPr/>
        <w:t xml:space="preserve">  </w:t>
      </w:r>
      <w:r>
        <w:rPr>
          <w:spacing w:val="-6"/>
        </w:rPr>
        <w:t>消其研究生录取资格。</w:t>
      </w:r>
    </w:p>
    <w:p>
      <w:pPr>
        <w:pStyle w:val="BodyText"/>
        <w:ind w:left="543"/>
        <w:spacing w:line="222" w:lineRule="auto"/>
        <w:rPr/>
      </w:pPr>
      <w:r>
        <w:rPr>
          <w:spacing w:val="-6"/>
        </w:rPr>
        <w:t>资格复审的要求规定如下：</w:t>
      </w:r>
    </w:p>
    <w:p>
      <w:pPr>
        <w:pStyle w:val="BodyText"/>
        <w:ind w:left="3" w:right="137" w:firstLine="539"/>
        <w:spacing w:before="280" w:line="290" w:lineRule="auto"/>
        <w:rPr/>
      </w:pPr>
      <w:r>
        <w:rPr>
          <w:rFonts w:ascii="Times New Roman" w:hAnsi="Times New Roman" w:eastAsia="Times New Roman" w:cs="Times New Roman"/>
          <w:spacing w:val="5"/>
        </w:rPr>
        <w:t>1. </w:t>
      </w:r>
      <w:r>
        <w:rPr>
          <w:spacing w:val="5"/>
        </w:rPr>
        <w:t>应已完成本科培养方案规定的所有课程及实践环节的学分要</w:t>
      </w:r>
      <w:r>
        <w:rPr>
          <w:spacing w:val="16"/>
        </w:rPr>
        <w:t xml:space="preserve"> </w:t>
      </w:r>
      <w:r>
        <w:rPr>
          <w:spacing w:val="-14"/>
        </w:rPr>
        <w:t>求；</w:t>
      </w:r>
    </w:p>
    <w:p>
      <w:pPr>
        <w:pStyle w:val="BodyText"/>
        <w:ind w:left="543"/>
        <w:spacing w:before="241" w:line="222" w:lineRule="auto"/>
        <w:rPr/>
      </w:pPr>
      <w:r>
        <w:rPr>
          <w:rFonts w:ascii="Times New Roman" w:hAnsi="Times New Roman" w:eastAsia="Times New Roman" w:cs="Times New Roman"/>
          <w:spacing w:val="-2"/>
        </w:rPr>
        <w:t>2. </w:t>
      </w:r>
      <w:r>
        <w:rPr>
          <w:spacing w:val="-2"/>
        </w:rPr>
        <w:t>本科最后一学年课程考核成绩不得出现不及格记录；</w:t>
      </w:r>
    </w:p>
    <w:p>
      <w:pPr>
        <w:pStyle w:val="BodyText"/>
        <w:ind w:left="543"/>
        <w:spacing w:before="235" w:line="222" w:lineRule="auto"/>
        <w:rPr/>
      </w:pPr>
      <w:r>
        <w:rPr>
          <w:rFonts w:ascii="Times New Roman" w:hAnsi="Times New Roman" w:eastAsia="Times New Roman" w:cs="Times New Roman"/>
        </w:rPr>
        <w:t>3. </w:t>
      </w:r>
      <w:r>
        <w:rPr/>
        <w:t>从考生报名</w:t>
      </w:r>
      <w:r>
        <w:rPr>
          <w:rFonts w:ascii="SimSun" w:hAnsi="SimSun" w:eastAsia="SimSun" w:cs="SimSun"/>
        </w:rPr>
        <w:t>¹</w:t>
      </w:r>
      <w:r>
        <w:rPr/>
        <w:t>至入学报到之日，未受到任何处分；</w:t>
      </w:r>
    </w:p>
    <w:p>
      <w:pPr>
        <w:pStyle w:val="BodyText"/>
        <w:ind w:left="543"/>
        <w:spacing w:before="250" w:line="221" w:lineRule="auto"/>
        <w:rPr/>
      </w:pPr>
      <w:r>
        <w:rPr>
          <w:rFonts w:ascii="Times New Roman" w:hAnsi="Times New Roman" w:eastAsia="Times New Roman" w:cs="Times New Roman"/>
          <w:spacing w:val="22"/>
        </w:rPr>
        <w:t>4. </w:t>
      </w:r>
      <w:r>
        <w:rPr>
          <w:spacing w:val="22"/>
        </w:rPr>
        <w:t>本科综合论文训练(毕业设计)应优良或80分(含)以上；</w:t>
      </w:r>
    </w:p>
    <w:p>
      <w:pPr>
        <w:pStyle w:val="BodyText"/>
        <w:ind w:left="543"/>
        <w:spacing w:before="245" w:line="221" w:lineRule="auto"/>
        <w:rPr/>
      </w:pPr>
      <w:r>
        <w:rPr>
          <w:rFonts w:ascii="Times New Roman" w:hAnsi="Times New Roman" w:eastAsia="Times New Roman" w:cs="Times New Roman"/>
          <w:spacing w:val="-2"/>
        </w:rPr>
        <w:t>5. </w:t>
      </w:r>
      <w:r>
        <w:rPr>
          <w:spacing w:val="-2"/>
        </w:rPr>
        <w:t>我校研究生新生入学前获得本科毕业证书和学士学位证书；</w:t>
      </w:r>
    </w:p>
    <w:p>
      <w:pPr>
        <w:pStyle w:val="BodyText"/>
        <w:ind w:left="163" w:right="122" w:firstLine="379"/>
        <w:spacing w:before="236" w:line="302" w:lineRule="auto"/>
        <w:rPr/>
      </w:pPr>
      <w:r>
        <w:rPr>
          <w:rFonts w:ascii="Times New Roman" w:hAnsi="Times New Roman" w:eastAsia="Times New Roman" w:cs="Times New Roman"/>
          <w:spacing w:val="6"/>
        </w:rPr>
        <w:t>6. </w:t>
      </w:r>
      <w:r>
        <w:rPr>
          <w:spacing w:val="6"/>
        </w:rPr>
        <w:t>符合我校各拟录取院(系)自定的不低于学校复审要</w:t>
      </w:r>
      <w:r>
        <w:rPr>
          <w:spacing w:val="5"/>
        </w:rPr>
        <w:t>求的标准</w:t>
      </w:r>
      <w:r>
        <w:rPr/>
        <w:t xml:space="preserve"> </w:t>
      </w:r>
      <w:r>
        <w:rPr>
          <w:spacing w:val="-3"/>
        </w:rPr>
        <w:t>(具体咨询相应院系)。</w:t>
      </w:r>
    </w:p>
    <w:p>
      <w:pPr>
        <w:pStyle w:val="BodyText"/>
        <w:ind w:left="3" w:right="137" w:firstLine="539"/>
        <w:spacing w:before="242" w:line="382" w:lineRule="auto"/>
        <w:rPr/>
      </w:pPr>
      <w:r>
        <w:rPr>
          <w:spacing w:val="4"/>
        </w:rPr>
        <w:t>注</w:t>
      </w:r>
      <w:r>
        <w:rPr>
          <w:rFonts w:ascii="SimSun" w:hAnsi="SimSun" w:eastAsia="SimSun" w:cs="SimSun"/>
          <w:spacing w:val="4"/>
        </w:rPr>
        <w:t>¹</w:t>
      </w:r>
      <w:r>
        <w:rPr>
          <w:rFonts w:ascii="SimSun" w:hAnsi="SimSun" w:eastAsia="SimSun" w:cs="SimSun"/>
          <w:spacing w:val="-91"/>
        </w:rPr>
        <w:t xml:space="preserve"> </w:t>
      </w:r>
      <w:r>
        <w:rPr>
          <w:spacing w:val="4"/>
        </w:rPr>
        <w:t>:考生报名时间指在“全国推荐优秀应届本科毕业生免试攻</w:t>
      </w:r>
      <w:r>
        <w:rPr/>
        <w:t xml:space="preserve"> </w:t>
      </w:r>
      <w:r>
        <w:rPr>
          <w:spacing w:val="-3"/>
        </w:rPr>
        <w:t>读研究生信息公开暨管理服务系统”提交志愿的时间。</w:t>
      </w:r>
    </w:p>
    <w:p>
      <w:pPr>
        <w:pStyle w:val="BodyText"/>
        <w:ind w:left="3" w:right="135" w:firstLine="539"/>
        <w:spacing w:before="4" w:line="383" w:lineRule="auto"/>
        <w:jc w:val="both"/>
        <w:rPr/>
      </w:pPr>
      <w:r>
        <w:rPr>
          <w:spacing w:val="10"/>
        </w:rPr>
        <w:t>外校推免生应在2027年6月本科最后一学期结束前将本人最后</w:t>
      </w:r>
      <w:r>
        <w:rPr>
          <w:spacing w:val="13"/>
        </w:rPr>
        <w:t xml:space="preserve"> </w:t>
      </w:r>
      <w:r>
        <w:rPr>
          <w:spacing w:val="3"/>
        </w:rPr>
        <w:t>一学年正式成绩单原件(含毕业设计成绩，</w:t>
      </w:r>
      <w:r>
        <w:rPr>
          <w:spacing w:val="2"/>
        </w:rPr>
        <w:t>加盖教务处公章)交(寄)</w:t>
      </w:r>
      <w:r>
        <w:rPr/>
        <w:t xml:space="preserve"> </w:t>
      </w:r>
      <w:r>
        <w:rPr>
          <w:spacing w:val="-4"/>
        </w:rPr>
        <w:t>到我校拟录取院系研究生教学办公室。</w:t>
      </w:r>
    </w:p>
    <w:p>
      <w:pPr>
        <w:pStyle w:val="BodyText"/>
        <w:ind w:left="543"/>
        <w:spacing w:before="116" w:line="222" w:lineRule="auto"/>
        <w:rPr>
          <w:sz w:val="30"/>
          <w:szCs w:val="30"/>
        </w:rPr>
      </w:pPr>
      <w:r>
        <w:rPr>
          <w:sz w:val="30"/>
          <w:szCs w:val="30"/>
          <w:spacing w:val="-13"/>
        </w:rPr>
        <w:t>六、其他说明</w:t>
      </w:r>
    </w:p>
    <w:p>
      <w:pPr>
        <w:pStyle w:val="BodyText"/>
        <w:ind w:left="3" w:right="141" w:firstLine="539"/>
        <w:spacing w:before="256" w:line="326" w:lineRule="auto"/>
        <w:rPr/>
      </w:pPr>
      <w:r>
        <w:rPr>
          <w:rFonts w:ascii="Times New Roman" w:hAnsi="Times New Roman" w:eastAsia="Times New Roman" w:cs="Times New Roman"/>
          <w:spacing w:val="-4"/>
        </w:rPr>
        <w:t>1. </w:t>
      </w:r>
      <w:r>
        <w:rPr>
          <w:spacing w:val="-4"/>
        </w:rPr>
        <w:t>若申请人弄虚作假、违反招生规定、存在有违学术道德</w:t>
      </w:r>
      <w:r>
        <w:rPr>
          <w:spacing w:val="-5"/>
        </w:rPr>
        <w:t>、专业</w:t>
      </w:r>
      <w:r>
        <w:rPr/>
        <w:t xml:space="preserve"> </w:t>
      </w:r>
      <w:r>
        <w:rPr>
          <w:spacing w:val="-14"/>
        </w:rPr>
        <w:t>伦理、诚实守信等方面的不当行为，一经查实，立即取消其读研资格，</w:t>
      </w:r>
      <w:r>
        <w:rPr>
          <w:spacing w:val="11"/>
        </w:rPr>
        <w:t xml:space="preserve"> </w:t>
      </w:r>
      <w:r>
        <w:rPr>
          <w:spacing w:val="-5"/>
        </w:rPr>
        <w:t>并通报申请人所在学校。</w:t>
      </w:r>
    </w:p>
    <w:p>
      <w:pPr>
        <w:pStyle w:val="BodyText"/>
        <w:ind w:left="3" w:right="101" w:firstLine="539"/>
        <w:spacing w:before="268" w:line="293" w:lineRule="auto"/>
        <w:rPr/>
      </w:pPr>
      <w:r>
        <w:rPr>
          <w:rFonts w:ascii="Times New Roman" w:hAnsi="Times New Roman" w:eastAsia="Times New Roman" w:cs="Times New Roman"/>
          <w:spacing w:val="-3"/>
        </w:rPr>
        <w:t>2. </w:t>
      </w:r>
      <w:r>
        <w:rPr>
          <w:spacing w:val="-3"/>
        </w:rPr>
        <w:t>我校及相关招生院系以研招信息系统平台、网站、电话、电子</w:t>
      </w:r>
      <w:r>
        <w:rPr>
          <w:spacing w:val="7"/>
        </w:rPr>
        <w:t xml:space="preserve"> </w:t>
      </w:r>
      <w:r>
        <w:rPr>
          <w:spacing w:val="-4"/>
        </w:rPr>
        <w:t>邮件、短信等方式公开或发送给考生的相关信息、文件和消息，均视</w:t>
      </w:r>
    </w:p>
    <w:p>
      <w:pPr>
        <w:spacing w:line="293" w:lineRule="auto"/>
        <w:sectPr>
          <w:footerReference w:type="default" r:id="rId5"/>
          <w:pgSz w:w="11910" w:h="16840"/>
          <w:pgMar w:top="1431" w:right="1720" w:bottom="1469" w:left="1786" w:header="0" w:footer="1173" w:gutter="0"/>
        </w:sectPr>
        <w:rPr/>
      </w:pPr>
    </w:p>
    <w:p>
      <w:pPr>
        <w:pStyle w:val="BodyText"/>
        <w:spacing w:before="228" w:line="222" w:lineRule="auto"/>
        <w:rPr/>
      </w:pPr>
      <w:r>
        <w:rPr>
          <w:spacing w:val="-2"/>
        </w:rPr>
        <w:t>为送达，因考生个人疏忽等原因造成的一切后果由考</w:t>
      </w:r>
      <w:r>
        <w:rPr>
          <w:spacing w:val="-3"/>
        </w:rPr>
        <w:t>生本人承担。</w:t>
      </w:r>
    </w:p>
    <w:p>
      <w:pPr>
        <w:pStyle w:val="BodyText"/>
        <w:ind w:right="94" w:firstLine="570"/>
        <w:spacing w:before="263" w:line="372" w:lineRule="auto"/>
        <w:rPr/>
      </w:pPr>
      <w:r>
        <w:rPr>
          <w:rFonts w:ascii="Times New Roman" w:hAnsi="Times New Roman" w:eastAsia="Times New Roman" w:cs="Times New Roman"/>
          <w:spacing w:val="-4"/>
        </w:rPr>
        <w:t>3. </w:t>
      </w:r>
      <w:r>
        <w:rPr>
          <w:spacing w:val="-4"/>
        </w:rPr>
        <w:t>我校按照国家和北京市规定向所有研究生收取学费，同时设立</w:t>
      </w:r>
      <w:r>
        <w:rPr>
          <w:spacing w:val="10"/>
        </w:rPr>
        <w:t xml:space="preserve"> </w:t>
      </w:r>
      <w:r>
        <w:rPr>
          <w:spacing w:val="27"/>
        </w:rPr>
        <w:t>奖助学金用于支持学生完成学业。研究生奖助相关规定请参见</w:t>
      </w:r>
    </w:p>
    <w:p>
      <w:pPr>
        <w:spacing w:before="1" w:line="183" w:lineRule="auto"/>
        <w:rPr>
          <w:rFonts w:ascii="SimSun" w:hAnsi="SimSun" w:eastAsia="SimSun" w:cs="SimSun"/>
          <w:sz w:val="35"/>
          <w:szCs w:val="35"/>
        </w:rPr>
      </w:pPr>
      <w:hyperlink w:history="true" r:id="rId7">
        <w:r>
          <w:rPr>
            <w:rFonts w:ascii="Times New Roman" w:hAnsi="Times New Roman" w:eastAsia="Times New Roman" w:cs="Times New Roman"/>
            <w:sz w:val="35"/>
            <w:szCs w:val="35"/>
            <w:u w:val="single" w:color="auto"/>
            <w:color w:val="2060C0"/>
            <w:spacing w:val="-13"/>
          </w:rPr>
          <w:t>https://www.tsinghua.edu.cn/iyjx/yisiy/iztx</w:t>
        </w:r>
        <w:r>
          <w:rPr>
            <w:rFonts w:ascii="Times New Roman" w:hAnsi="Times New Roman" w:eastAsia="Times New Roman" w:cs="Times New Roman"/>
            <w:sz w:val="35"/>
            <w:szCs w:val="35"/>
            <w:u w:val="single" w:color="auto"/>
            <w:color w:val="2060C0"/>
            <w:spacing w:val="-14"/>
          </w:rPr>
          <w:t>.htm</w:t>
        </w:r>
        <w:r>
          <w:rPr>
            <w:rFonts w:ascii="SimSun" w:hAnsi="SimSun" w:eastAsia="SimSun" w:cs="SimSun"/>
            <w:sz w:val="35"/>
            <w:szCs w:val="35"/>
            <w:color w:val="2060C0"/>
            <w:spacing w:val="-14"/>
          </w:rPr>
          <w:t>。</w:t>
        </w:r>
      </w:hyperlink>
    </w:p>
    <w:p>
      <w:pPr>
        <w:pStyle w:val="BodyText"/>
        <w:ind w:left="570"/>
        <w:spacing w:before="229" w:line="220" w:lineRule="auto"/>
        <w:rPr/>
      </w:pPr>
      <w:r>
        <w:rPr>
          <w:rFonts w:ascii="Times New Roman" w:hAnsi="Times New Roman" w:eastAsia="Times New Roman" w:cs="Times New Roman"/>
          <w:spacing w:val="-1"/>
        </w:rPr>
        <w:t>4. </w:t>
      </w:r>
      <w:r>
        <w:rPr>
          <w:spacing w:val="-1"/>
        </w:rPr>
        <w:t>所有申请材料不予退还。</w:t>
      </w:r>
    </w:p>
    <w:p>
      <w:pPr>
        <w:pStyle w:val="BodyText"/>
        <w:ind w:right="89" w:firstLine="570"/>
        <w:spacing w:before="247" w:line="311" w:lineRule="auto"/>
        <w:rPr/>
      </w:pPr>
      <w:r>
        <w:rPr>
          <w:rFonts w:ascii="Times New Roman" w:hAnsi="Times New Roman" w:eastAsia="Times New Roman" w:cs="Times New Roman"/>
          <w:spacing w:val="-3"/>
        </w:rPr>
        <w:t>5. </w:t>
      </w:r>
      <w:r>
        <w:rPr>
          <w:spacing w:val="-3"/>
        </w:rPr>
        <w:t>如果上级部门出台新政策、安排或计</w:t>
      </w:r>
      <w:r>
        <w:rPr>
          <w:spacing w:val="-4"/>
        </w:rPr>
        <w:t>划调整，我校将做相应调</w:t>
      </w:r>
      <w:r>
        <w:rPr/>
        <w:t xml:space="preserve"> </w:t>
      </w:r>
      <w:r>
        <w:rPr>
          <w:spacing w:val="-14"/>
        </w:rPr>
        <w:t>整。</w:t>
      </w:r>
    </w:p>
    <w:p>
      <w:pPr>
        <w:spacing w:line="284" w:lineRule="auto"/>
        <w:rPr>
          <w:rFonts w:ascii="Arial"/>
          <w:sz w:val="21"/>
        </w:rPr>
      </w:pPr>
      <w:r/>
    </w:p>
    <w:p>
      <w:pPr>
        <w:pStyle w:val="BodyText"/>
        <w:ind w:left="570"/>
        <w:spacing w:before="91" w:line="222" w:lineRule="auto"/>
        <w:rPr/>
      </w:pPr>
      <w:r>
        <w:rPr>
          <w:spacing w:val="1"/>
        </w:rPr>
        <w:t>七、信息查询、申诉及联系方式</w:t>
      </w:r>
    </w:p>
    <w:p>
      <w:pPr>
        <w:pStyle w:val="BodyText"/>
        <w:ind w:left="570"/>
        <w:spacing w:before="243" w:line="222" w:lineRule="auto"/>
        <w:rPr/>
      </w:pPr>
      <w:r>
        <w:rPr>
          <w:rFonts w:ascii="Times New Roman" w:hAnsi="Times New Roman" w:eastAsia="Times New Roman" w:cs="Times New Roman"/>
          <w:spacing w:val="-9"/>
        </w:rPr>
        <w:t>1. </w:t>
      </w:r>
      <w:r>
        <w:rPr>
          <w:spacing w:val="-9"/>
        </w:rPr>
        <w:t>信息查询：</w:t>
      </w:r>
    </w:p>
    <w:p>
      <w:pPr>
        <w:pStyle w:val="BodyText"/>
        <w:ind w:firstLine="570"/>
        <w:spacing w:before="220" w:line="384" w:lineRule="auto"/>
        <w:rPr/>
      </w:pPr>
      <w:r>
        <w:rPr>
          <w:spacing w:val="-5"/>
        </w:rPr>
        <w:t>申请或报考、成绩、录取等信息可登录清华大学研究生申请服务</w:t>
      </w:r>
      <w:r>
        <w:rPr>
          <w:spacing w:val="3"/>
        </w:rPr>
        <w:t xml:space="preserve">  </w:t>
      </w:r>
      <w:r>
        <w:rPr/>
        <w:t>系统查询，我校将及时在清华大学研究生招生网公布新的招生信息。</w:t>
      </w:r>
    </w:p>
    <w:p>
      <w:pPr>
        <w:pStyle w:val="BodyText"/>
        <w:ind w:left="560"/>
        <w:spacing w:before="1" w:line="222" w:lineRule="auto"/>
        <w:rPr/>
      </w:pPr>
      <w:r>
        <w:rPr>
          <w:rFonts w:ascii="Times New Roman" w:hAnsi="Times New Roman" w:eastAsia="Times New Roman" w:cs="Times New Roman"/>
          <w:spacing w:val="-8"/>
        </w:rPr>
        <w:t>2.</w:t>
      </w:r>
      <w:r>
        <w:rPr>
          <w:rFonts w:ascii="Times New Roman" w:hAnsi="Times New Roman" w:eastAsia="Times New Roman" w:cs="Times New Roman"/>
          <w:spacing w:val="15"/>
        </w:rPr>
        <w:t xml:space="preserve"> </w:t>
      </w:r>
      <w:r>
        <w:rPr>
          <w:spacing w:val="-8"/>
        </w:rPr>
        <w:t>申诉：</w:t>
      </w:r>
    </w:p>
    <w:p>
      <w:pPr>
        <w:pStyle w:val="BodyText"/>
        <w:ind w:right="97" w:firstLine="570"/>
        <w:spacing w:before="250" w:line="383" w:lineRule="auto"/>
        <w:jc w:val="both"/>
        <w:rPr/>
      </w:pPr>
      <w:r>
        <w:rPr>
          <w:spacing w:val="-5"/>
        </w:rPr>
        <w:t>申请人对院系招生环节有异议的，可向院系书面形式具名提起申</w:t>
      </w:r>
      <w:r>
        <w:rPr>
          <w:spacing w:val="16"/>
        </w:rPr>
        <w:t xml:space="preserve"> </w:t>
      </w:r>
      <w:r>
        <w:rPr>
          <w:spacing w:val="-3"/>
        </w:rPr>
        <w:t>诉，院系应当受理并予以答复。申诉人对答复有</w:t>
      </w:r>
      <w:r>
        <w:rPr>
          <w:spacing w:val="-4"/>
        </w:rPr>
        <w:t>异议的，可向研究生</w:t>
      </w:r>
      <w:r>
        <w:rPr/>
        <w:t xml:space="preserve"> </w:t>
      </w:r>
      <w:r>
        <w:rPr>
          <w:spacing w:val="-5"/>
        </w:rPr>
        <w:t>招生办公室提起申诉。</w:t>
      </w:r>
    </w:p>
    <w:p>
      <w:pPr>
        <w:pStyle w:val="BodyText"/>
        <w:ind w:left="570"/>
        <w:spacing w:line="222" w:lineRule="auto"/>
        <w:rPr/>
      </w:pPr>
      <w:r>
        <w:rPr>
          <w:rFonts w:ascii="Times New Roman" w:hAnsi="Times New Roman" w:eastAsia="Times New Roman" w:cs="Times New Roman"/>
          <w:spacing w:val="-3"/>
        </w:rPr>
        <w:t>3. </w:t>
      </w:r>
      <w:r>
        <w:rPr>
          <w:spacing w:val="-3"/>
        </w:rPr>
        <w:t>咨询及申诉联系方式：</w:t>
      </w:r>
    </w:p>
    <w:p>
      <w:pPr>
        <w:pStyle w:val="BodyText"/>
        <w:ind w:left="570"/>
        <w:spacing w:before="254" w:line="222" w:lineRule="auto"/>
        <w:rPr/>
      </w:pPr>
      <w:r>
        <w:rPr>
          <w:spacing w:val="-2"/>
        </w:rPr>
        <w:t>各院系联系方式：见招生专业目录</w:t>
      </w:r>
    </w:p>
    <w:p>
      <w:pPr>
        <w:pStyle w:val="BodyText"/>
        <w:ind w:left="570"/>
        <w:spacing w:before="231" w:line="222" w:lineRule="auto"/>
        <w:rPr/>
      </w:pPr>
      <w:r>
        <w:rPr>
          <w:spacing w:val="-1"/>
        </w:rPr>
        <w:t>清华大学研究生招生办公室位于清华大学二校门东侧</w:t>
      </w:r>
    </w:p>
    <w:p>
      <w:pPr>
        <w:pStyle w:val="BodyText"/>
        <w:ind w:left="570"/>
        <w:spacing w:before="233" w:line="222" w:lineRule="auto"/>
        <w:rPr/>
      </w:pPr>
      <w:r>
        <w:rPr>
          <w:spacing w:val="-2"/>
        </w:rPr>
        <w:t>通信地址：北京市清华大学研究生招生办公室</w:t>
      </w:r>
    </w:p>
    <w:p>
      <w:pPr>
        <w:pStyle w:val="BodyText"/>
        <w:ind w:left="570"/>
        <w:spacing w:before="243" w:line="222" w:lineRule="auto"/>
        <w:rPr/>
      </w:pPr>
      <w:r>
        <w:rPr/>
        <w:t>邮政编码：100084</w:t>
      </w:r>
    </w:p>
    <w:p>
      <w:pPr>
        <w:pStyle w:val="BodyText"/>
        <w:ind w:left="570"/>
        <w:spacing w:before="237" w:line="223" w:lineRule="auto"/>
        <w:rPr/>
      </w:pPr>
      <w:r>
        <w:rPr>
          <w:spacing w:val="-1"/>
        </w:rPr>
        <w:t>联系电话：010-62782192</w:t>
      </w:r>
    </w:p>
    <w:p>
      <w:pPr>
        <w:pStyle w:val="BodyText"/>
        <w:ind w:left="570"/>
        <w:spacing w:before="250" w:line="212" w:lineRule="auto"/>
        <w:rPr>
          <w:rFonts w:ascii="Times New Roman" w:hAnsi="Times New Roman" w:eastAsia="Times New Roman" w:cs="Times New Roman"/>
        </w:rPr>
      </w:pPr>
      <w:r>
        <w:rPr>
          <w:spacing w:val="-2"/>
        </w:rPr>
        <w:t>咨询电子邮箱：</w:t>
      </w:r>
      <w:r>
        <w:rPr>
          <w:rFonts w:ascii="Times New Roman" w:hAnsi="Times New Roman" w:eastAsia="Times New Roman" w:cs="Times New Roman"/>
          <w:spacing w:val="-2"/>
        </w:rPr>
        <w:t>yjszb@mail.tsinghua.edu.cn</w:t>
      </w:r>
    </w:p>
    <w:p>
      <w:pPr>
        <w:pStyle w:val="BodyText"/>
        <w:ind w:left="570"/>
        <w:spacing w:before="279" w:line="212" w:lineRule="auto"/>
        <w:rPr>
          <w:rFonts w:ascii="Times New Roman" w:hAnsi="Times New Roman" w:eastAsia="Times New Roman" w:cs="Times New Roman"/>
        </w:rPr>
      </w:pPr>
      <w:r>
        <w:rPr>
          <w:spacing w:val="-2"/>
        </w:rPr>
        <w:t>申诉电子邮箱：</w:t>
      </w:r>
      <w:r>
        <w:rPr>
          <w:rFonts w:ascii="Times New Roman" w:hAnsi="Times New Roman" w:eastAsia="Times New Roman" w:cs="Times New Roman"/>
          <w:spacing w:val="-2"/>
        </w:rPr>
        <w:t>yanzhaoban@mail.tsinghua.edu.cn</w:t>
      </w:r>
    </w:p>
    <w:sectPr>
      <w:footerReference w:type="default" r:id="rId6"/>
      <w:pgSz w:w="11910" w:h="16840"/>
      <w:pgMar w:top="1431" w:right="1739" w:bottom="1433" w:left="1769" w:header="0" w:footer="1271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FangSong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Times New Roman">
    <w:panose1 w:val="02020603050405020304"/>
    <w:charset w:val="00"/>
    <w:family w:val="auto"/>
    <w:pitch w:val="variable"/>
    <w:sig w:usb0="E0002EFF" w:usb1="C000785B" w:usb2="00000009" w:usb3="00000000" w:csb0="400001FF" w:csb1="FFFF000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53"/>
      <w:spacing w:line="177" w:lineRule="auto"/>
      <w:rPr>
        <w:rFonts w:ascii="Arial" w:hAnsi="Arial" w:eastAsia="Arial" w:cs="Arial"/>
        <w:sz w:val="17"/>
        <w:szCs w:val="17"/>
      </w:rPr>
    </w:pPr>
    <w:r>
      <w:rPr>
        <w:rFonts w:ascii="SimSun" w:hAnsi="SimSun" w:eastAsia="SimSun" w:cs="SimSun"/>
        <w:sz w:val="17"/>
        <w:szCs w:val="17"/>
        <w:spacing w:val="-4"/>
        <w:w w:val="50"/>
      </w:rPr>
      <w:t>—</w:t>
    </w:r>
    <w:r>
      <w:rPr>
        <w:rFonts w:ascii="SimSun" w:hAnsi="SimSun" w:eastAsia="SimSun" w:cs="SimSun"/>
        <w:sz w:val="17"/>
        <w:szCs w:val="17"/>
        <w:spacing w:val="-36"/>
      </w:rPr>
      <w:t xml:space="preserve"> </w:t>
    </w:r>
    <w:r>
      <w:rPr>
        <w:rFonts w:ascii="Arial" w:hAnsi="Arial" w:eastAsia="Arial" w:cs="Arial"/>
        <w:sz w:val="17"/>
        <w:szCs w:val="17"/>
        <w:color w:val="000030"/>
        <w:spacing w:val="-10"/>
      </w:rPr>
      <w:t>1—</w: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60"/>
      <w:spacing w:line="177" w:lineRule="auto"/>
      <w:rPr>
        <w:rFonts w:ascii="Times New Roman" w:hAnsi="Times New Roman" w:eastAsia="Times New Roman" w:cs="Times New Roman"/>
        <w:sz w:val="19"/>
        <w:szCs w:val="19"/>
      </w:rPr>
    </w:pPr>
    <w:r>
      <w:rPr>
        <w:rFonts w:ascii="Times New Roman" w:hAnsi="Times New Roman" w:eastAsia="Times New Roman" w:cs="Times New Roman"/>
        <w:sz w:val="19"/>
        <w:szCs w:val="19"/>
        <w:spacing w:val="-26"/>
        <w:w w:val="55"/>
      </w:rPr>
      <w:t>—</w:t>
    </w:r>
    <w:r>
      <w:rPr>
        <w:rFonts w:ascii="Times New Roman" w:hAnsi="Times New Roman" w:eastAsia="Times New Roman" w:cs="Times New Roman"/>
        <w:sz w:val="19"/>
        <w:szCs w:val="19"/>
        <w:spacing w:val="2"/>
      </w:rPr>
      <w:t xml:space="preserve"> </w:t>
    </w:r>
    <w:r>
      <w:rPr>
        <w:rFonts w:ascii="Times New Roman" w:hAnsi="Times New Roman" w:eastAsia="Times New Roman" w:cs="Times New Roman"/>
        <w:sz w:val="19"/>
        <w:szCs w:val="19"/>
        <w:spacing w:val="-2"/>
      </w:rPr>
      <w:t>2</w:t>
    </w:r>
    <w:r>
      <w:rPr>
        <w:rFonts w:ascii="Times New Roman" w:hAnsi="Times New Roman" w:eastAsia="Times New Roman" w:cs="Times New Roman"/>
        <w:sz w:val="19"/>
        <w:szCs w:val="19"/>
        <w:spacing w:val="12"/>
        <w:w w:val="101"/>
      </w:rPr>
      <w:t xml:space="preserve"> </w:t>
    </w:r>
    <w:r>
      <w:rPr>
        <w:rFonts w:ascii="Times New Roman" w:hAnsi="Times New Roman" w:eastAsia="Times New Roman" w:cs="Times New Roman"/>
        <w:sz w:val="19"/>
        <w:szCs w:val="19"/>
        <w:spacing w:val="-2"/>
      </w:rPr>
      <w:t>—</w:t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43"/>
      <w:spacing w:line="285" w:lineRule="exact"/>
      <w:rPr>
        <w:rFonts w:ascii="SimSun" w:hAnsi="SimSun" w:eastAsia="SimSun" w:cs="SimSun"/>
        <w:sz w:val="18"/>
        <w:szCs w:val="18"/>
      </w:rPr>
    </w:pPr>
    <w:r>
      <w:rPr>
        <w:rFonts w:ascii="SimSun" w:hAnsi="SimSun" w:eastAsia="SimSun" w:cs="SimSun"/>
        <w:sz w:val="18"/>
        <w:szCs w:val="18"/>
        <w:spacing w:val="-4"/>
        <w:w w:val="47"/>
        <w:position w:val="2"/>
      </w:rPr>
      <w:t>—</w:t>
    </w:r>
    <w:r>
      <w:rPr>
        <w:rFonts w:ascii="SimSun" w:hAnsi="SimSun" w:eastAsia="SimSun" w:cs="SimSun"/>
        <w:sz w:val="18"/>
        <w:szCs w:val="18"/>
        <w:spacing w:val="-42"/>
        <w:position w:val="2"/>
      </w:rPr>
      <w:t xml:space="preserve"> </w:t>
    </w:r>
    <w:r>
      <w:rPr>
        <w:rFonts w:ascii="Arial" w:hAnsi="Arial" w:eastAsia="Arial" w:cs="Arial"/>
        <w:sz w:val="18"/>
        <w:szCs w:val="18"/>
        <w:color w:val="305060"/>
        <w:spacing w:val="-4"/>
        <w:position w:val="2"/>
      </w:rPr>
      <w:t>3</w:t>
    </w:r>
    <w:r>
      <w:rPr>
        <w:rFonts w:ascii="Arial" w:hAnsi="Arial" w:eastAsia="Arial" w:cs="Arial"/>
        <w:sz w:val="18"/>
        <w:szCs w:val="18"/>
        <w:color w:val="305060"/>
        <w:spacing w:val="18"/>
        <w:position w:val="2"/>
      </w:rPr>
      <w:t xml:space="preserve"> </w:t>
    </w:r>
    <w:r>
      <w:rPr>
        <w:rFonts w:ascii="SimSun" w:hAnsi="SimSun" w:eastAsia="SimSun" w:cs="SimSun"/>
        <w:sz w:val="18"/>
        <w:szCs w:val="18"/>
        <w:spacing w:val="-4"/>
        <w:position w:val="2"/>
      </w:rPr>
      <w:t>—</w:t>
    </w:r>
  </w:p>
</w:ftr>
</file>

<file path=word/footer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80"/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spacing w:val="-26"/>
        <w:w w:val="58"/>
      </w:rPr>
      <w:t>—</w:t>
    </w:r>
    <w:r>
      <w:rPr>
        <w:rFonts w:ascii="Times New Roman" w:hAnsi="Times New Roman" w:eastAsia="Times New Roman" w:cs="Times New Roman"/>
        <w:sz w:val="18"/>
        <w:szCs w:val="18"/>
        <w:spacing w:val="-13"/>
      </w:rPr>
      <w:t xml:space="preserve"> </w:t>
    </w:r>
    <w:r>
      <w:rPr>
        <w:rFonts w:ascii="Times New Roman" w:hAnsi="Times New Roman" w:eastAsia="Times New Roman" w:cs="Times New Roman"/>
        <w:sz w:val="18"/>
        <w:szCs w:val="18"/>
        <w:spacing w:val="-1"/>
        <w:w w:val="99"/>
      </w:rPr>
      <w:t>4</w:t>
    </w:r>
    <w:r>
      <w:rPr>
        <w:rFonts w:ascii="Times New Roman" w:hAnsi="Times New Roman" w:eastAsia="Times New Roman" w:cs="Times New Roman"/>
        <w:sz w:val="18"/>
        <w:szCs w:val="18"/>
        <w:spacing w:val="28"/>
      </w:rPr>
      <w:t xml:space="preserve"> </w:t>
    </w:r>
    <w:r>
      <w:rPr>
        <w:rFonts w:ascii="Times New Roman" w:hAnsi="Times New Roman" w:eastAsia="Times New Roman" w:cs="Times New Roman"/>
        <w:sz w:val="18"/>
        <w:szCs w:val="18"/>
        <w:spacing w:val="-1"/>
        <w:w w:val="99"/>
      </w:rPr>
      <w:t>—</w:t>
    </w:r>
  </w:p>
</w:ftr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BodyText">
    <w:name w:val="Body Text"/>
    <w:basedOn w:val="Normal"/>
    <w:semiHidden/>
    <w:qFormat/>
    <w:pPr/>
    <w:rPr>
      <w:rFonts w:ascii="FangSong" w:hAnsi="FangSong" w:eastAsia="FangSong" w:cs="FangSong"/>
      <w:sz w:val="28"/>
      <w:szCs w:val="28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styles" Target="styles.xml"/><Relationship Id="rId8" Type="http://schemas.openxmlformats.org/officeDocument/2006/relationships/settings" Target="settings.xml"/><Relationship Id="rId7" Type="http://schemas.openxmlformats.org/officeDocument/2006/relationships/hyperlink" Target="https://www.tsinghua.edu.cn/iyjx/yisiy/iztx.htm&#12290;" TargetMode="Externa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hyperlink" Target="https://yzbm.tsinghua.edu.cn/" TargetMode="External"/><Relationship Id="rId2" Type="http://schemas.openxmlformats.org/officeDocument/2006/relationships/hyperlink" Target="http://yz.tsinghua.edu.cn" TargetMode="External"/><Relationship Id="rId10" Type="http://schemas.openxmlformats.org/officeDocument/2006/relationships/fontTable" Target="fontTable.xml"/><Relationship Id="rId1" Type="http://schemas.openxmlformats.org/officeDocument/2006/relationships/footer" Target="footer1.xml"/></Relationships>
</file>

<file path=docProps/app.xml><?xml version="1.0" encoding="utf-8"?>
<ap:Properties xmlns:vt="http://schemas.openxmlformats.org/officeDocument/2006/docPropsVTypes" xmlns:ap="http://schemas.openxmlformats.org/officeDocument/2006/extended-properti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2026-09-11T17:14:55Z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2026-09-11T17:14:56</vt:filetime>
  </property>
  <property fmtid="{D5CDD505-2E9C-101B-9397-08002B2CF9AE}" pid="4" name="UsrData">
    <vt:lpwstr>6aa3c68e93b872002062fc61wl</vt:lpwstr>
  </property>
</Properties>
</file>