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50" w:lineRule="auto"/>
        <w:rPr>
          <w:rFonts w:ascii="Arial"/>
          <w:sz w:val="21"/>
        </w:rPr>
      </w:pPr>
      <w:r/>
    </w:p>
    <w:p>
      <w:pPr>
        <w:spacing w:line="250" w:lineRule="auto"/>
        <w:rPr>
          <w:rFonts w:ascii="Arial"/>
          <w:sz w:val="21"/>
        </w:rPr>
      </w:pPr>
      <w:r/>
    </w:p>
    <w:p>
      <w:pPr>
        <w:ind w:left="4"/>
        <w:spacing w:before="101" w:line="219" w:lineRule="auto"/>
        <w:outlineLvl w:val="0"/>
        <w:rPr>
          <w:rFonts w:ascii="SimSun" w:hAnsi="SimSun" w:eastAsia="SimSun" w:cs="SimSun"/>
          <w:sz w:val="31"/>
          <w:szCs w:val="31"/>
        </w:rPr>
      </w:pPr>
      <w:r>
        <w:rPr>
          <w:rFonts w:ascii="SimSun" w:hAnsi="SimSun" w:eastAsia="SimSun" w:cs="SimSun"/>
          <w:sz w:val="31"/>
          <w:szCs w:val="31"/>
          <w:b/>
          <w:bCs/>
          <w:spacing w:val="-4"/>
        </w:rPr>
        <w:t>国际商学院(文化产业管理+网络与新媒体)2027届推荐优秀应届本</w:t>
      </w:r>
    </w:p>
    <w:p>
      <w:pPr>
        <w:ind w:left="1244"/>
        <w:spacing w:before="252" w:line="219" w:lineRule="auto"/>
        <w:outlineLvl w:val="0"/>
        <w:rPr>
          <w:rFonts w:ascii="SimSun" w:hAnsi="SimSun" w:eastAsia="SimSun" w:cs="SimSun"/>
          <w:sz w:val="31"/>
          <w:szCs w:val="31"/>
        </w:rPr>
      </w:pPr>
      <w:r>
        <w:rPr>
          <w:rFonts w:ascii="SimSun" w:hAnsi="SimSun" w:eastAsia="SimSun" w:cs="SimSun"/>
          <w:sz w:val="31"/>
          <w:szCs w:val="31"/>
          <w:b/>
          <w:bCs/>
          <w:spacing w:val="-12"/>
        </w:rPr>
        <w:t>科毕业生免试攻读硕士学位研究生工作实施细则</w:t>
      </w:r>
    </w:p>
    <w:p>
      <w:pPr>
        <w:ind w:left="3903"/>
        <w:spacing w:before="283" w:line="219" w:lineRule="auto"/>
        <w:outlineLvl w:val="0"/>
        <w:rPr>
          <w:rFonts w:ascii="SimSun" w:hAnsi="SimSun" w:eastAsia="SimSun" w:cs="SimSun"/>
          <w:sz w:val="26"/>
          <w:szCs w:val="26"/>
        </w:rPr>
      </w:pPr>
      <w:r>
        <w:rPr>
          <w:rFonts w:ascii="SimSun" w:hAnsi="SimSun" w:eastAsia="SimSun" w:cs="SimSun"/>
          <w:sz w:val="26"/>
          <w:szCs w:val="26"/>
          <w:b/>
          <w:bCs/>
          <w:spacing w:val="1"/>
        </w:rPr>
        <w:t>(普通类)</w:t>
      </w:r>
    </w:p>
    <w:p>
      <w:pPr>
        <w:spacing w:line="252" w:lineRule="auto"/>
        <w:rPr>
          <w:rFonts w:ascii="Arial"/>
          <w:sz w:val="21"/>
        </w:rPr>
      </w:pPr>
      <w:r/>
    </w:p>
    <w:p>
      <w:pPr>
        <w:spacing w:line="252" w:lineRule="auto"/>
        <w:rPr>
          <w:rFonts w:ascii="Arial"/>
          <w:sz w:val="21"/>
        </w:rPr>
      </w:pPr>
      <w:r/>
    </w:p>
    <w:p>
      <w:pPr>
        <w:pStyle w:val="BodyText"/>
        <w:ind w:right="67" w:firstLine="540"/>
        <w:spacing w:before="91" w:line="403" w:lineRule="auto"/>
        <w:jc w:val="both"/>
        <w:rPr/>
      </w:pPr>
      <w:r>
        <w:rPr>
          <w:spacing w:val="9"/>
        </w:rPr>
        <w:t>推荐优秀应届本科毕业生免试攻读硕士学位研究生(简</w:t>
      </w:r>
      <w:r>
        <w:rPr>
          <w:spacing w:val="8"/>
        </w:rPr>
        <w:t>称推免生),</w:t>
      </w:r>
      <w:r>
        <w:rPr/>
        <w:t xml:space="preserve"> </w:t>
      </w:r>
      <w:r>
        <w:rPr>
          <w:spacing w:val="-5"/>
        </w:rPr>
        <w:t>是激励本科生勤奋学习，改革优秀创新人才选拔方式的重要举措。根据教</w:t>
      </w:r>
      <w:r>
        <w:rPr>
          <w:spacing w:val="7"/>
        </w:rPr>
        <w:t xml:space="preserve"> </w:t>
      </w:r>
      <w:r>
        <w:rPr>
          <w:spacing w:val="-5"/>
        </w:rPr>
        <w:t>育部相关文件精神及《华南师范大学推荐优秀应届本科毕业生免试</w:t>
      </w:r>
      <w:r>
        <w:rPr>
          <w:spacing w:val="-6"/>
        </w:rPr>
        <w:t>攻读硕</w:t>
      </w:r>
      <w:r>
        <w:rPr/>
        <w:t xml:space="preserve"> </w:t>
      </w:r>
      <w:r>
        <w:rPr>
          <w:spacing w:val="16"/>
        </w:rPr>
        <w:t>士学位研究生工作实施办法(修订)》(华师〔2024〕</w:t>
      </w:r>
      <w:r>
        <w:rPr>
          <w:spacing w:val="15"/>
        </w:rPr>
        <w:t>67号),结合学院</w:t>
      </w:r>
      <w:r>
        <w:rPr/>
        <w:t xml:space="preserve"> </w:t>
      </w:r>
      <w:r>
        <w:rPr>
          <w:spacing w:val="-5"/>
        </w:rPr>
        <w:t>实际，特制定本实施细则。</w:t>
      </w:r>
    </w:p>
    <w:p>
      <w:pPr>
        <w:pStyle w:val="BodyText"/>
        <w:ind w:left="540"/>
        <w:spacing w:before="25" w:line="220" w:lineRule="auto"/>
        <w:rPr/>
      </w:pPr>
      <w:r>
        <w:rPr>
          <w:spacing w:val="-7"/>
        </w:rPr>
        <w:t>一</w:t>
      </w:r>
      <w:r>
        <w:rPr>
          <w:spacing w:val="-82"/>
        </w:rPr>
        <w:t xml:space="preserve"> </w:t>
      </w:r>
      <w:r>
        <w:rPr>
          <w:spacing w:val="-7"/>
        </w:rPr>
        <w:t>、学院推免工作小组</w:t>
      </w:r>
    </w:p>
    <w:p>
      <w:pPr>
        <w:pStyle w:val="BodyText"/>
        <w:ind w:left="540"/>
        <w:spacing w:before="267" w:line="222" w:lineRule="auto"/>
        <w:rPr/>
      </w:pPr>
      <w:r>
        <w:rPr>
          <w:spacing w:val="-4"/>
        </w:rPr>
        <w:t>组</w:t>
      </w:r>
      <w:r>
        <w:rPr>
          <w:spacing w:val="-4"/>
        </w:rPr>
        <w:t xml:space="preserve">  </w:t>
      </w:r>
      <w:r>
        <w:rPr>
          <w:spacing w:val="-4"/>
        </w:rPr>
        <w:t>长：张奕华、员巧云</w:t>
      </w:r>
    </w:p>
    <w:p>
      <w:pPr>
        <w:pStyle w:val="BodyText"/>
        <w:ind w:left="540"/>
        <w:spacing w:before="264" w:line="222" w:lineRule="auto"/>
        <w:rPr/>
      </w:pPr>
      <w:r>
        <w:rPr>
          <w:spacing w:val="-2"/>
        </w:rPr>
        <w:t>副组长：庄慧娟、邓慧、董光柱</w:t>
      </w:r>
    </w:p>
    <w:p>
      <w:pPr>
        <w:pStyle w:val="BodyText"/>
        <w:ind w:right="62" w:firstLine="540"/>
        <w:spacing w:before="282" w:line="402" w:lineRule="auto"/>
        <w:rPr/>
      </w:pPr>
      <w:r>
        <w:rPr>
          <w:spacing w:val="-4"/>
        </w:rPr>
        <w:t>成</w:t>
      </w:r>
      <w:r>
        <w:rPr>
          <w:spacing w:val="132"/>
        </w:rPr>
        <w:t xml:space="preserve"> </w:t>
      </w:r>
      <w:r>
        <w:rPr>
          <w:spacing w:val="-4"/>
        </w:rPr>
        <w:t>员：李少育、李晓春、赵淑芳、梁敏仪、张相平、王薇薇、赵莉</w:t>
      </w:r>
      <w:r>
        <w:rPr/>
        <w:t xml:space="preserve"> </w:t>
      </w:r>
      <w:r>
        <w:rPr>
          <w:spacing w:val="-2"/>
        </w:rPr>
        <w:t>莉、张雨、梁吉、王学平、丘小英、马学义</w:t>
      </w:r>
    </w:p>
    <w:p>
      <w:pPr>
        <w:pStyle w:val="BodyText"/>
        <w:ind w:right="43" w:firstLine="540"/>
        <w:spacing w:before="2" w:line="409" w:lineRule="auto"/>
        <w:rPr/>
      </w:pPr>
      <w:r>
        <w:rPr>
          <w:spacing w:val="-5"/>
        </w:rPr>
        <w:t>学院推免工作小组全面负责学院内推免工作相关事宜，包括奖励加分</w:t>
      </w:r>
      <w:r>
        <w:rPr>
          <w:spacing w:val="16"/>
        </w:rPr>
        <w:t xml:space="preserve"> </w:t>
      </w:r>
      <w:r>
        <w:rPr>
          <w:spacing w:val="-4"/>
        </w:rPr>
        <w:t>细则的制定、学院推免名额的分配、学院考核标准的制定与实施、推荐名</w:t>
      </w:r>
      <w:r>
        <w:rPr>
          <w:spacing w:val="3"/>
        </w:rPr>
        <w:t xml:space="preserve"> </w:t>
      </w:r>
      <w:r>
        <w:rPr>
          <w:spacing w:val="-4"/>
        </w:rPr>
        <w:t>单的审定、推免过程中争议事项的裁决等。</w:t>
      </w:r>
    </w:p>
    <w:p>
      <w:pPr>
        <w:pStyle w:val="BodyText"/>
        <w:ind w:left="540"/>
        <w:spacing w:before="1" w:line="222" w:lineRule="auto"/>
        <w:rPr/>
      </w:pPr>
      <w:r>
        <w:rPr>
          <w:spacing w:val="-1"/>
        </w:rPr>
        <w:t>二、学院内各专业名额分配办法</w:t>
      </w:r>
    </w:p>
    <w:p>
      <w:pPr>
        <w:pStyle w:val="BodyText"/>
        <w:ind w:firstLine="540"/>
        <w:spacing w:before="271" w:line="401" w:lineRule="auto"/>
        <w:rPr/>
      </w:pPr>
      <w:r>
        <w:rPr>
          <w:spacing w:val="-11"/>
        </w:rPr>
        <w:t>推免名额根据学生人数，按比例分配于文化产业管理、网络与新媒体、</w:t>
      </w:r>
      <w:r>
        <w:rPr/>
        <w:t xml:space="preserve"> </w:t>
      </w:r>
      <w:r>
        <w:rPr>
          <w:spacing w:val="9"/>
        </w:rPr>
        <w:t>网络与新媒体(中外联合培养)三个专业。</w:t>
      </w:r>
    </w:p>
    <w:p>
      <w:pPr>
        <w:ind w:left="544"/>
        <w:spacing w:before="1" w:line="225" w:lineRule="auto"/>
        <w:outlineLvl w:val="2"/>
        <w:rPr>
          <w:rFonts w:ascii="KaiTi" w:hAnsi="KaiTi" w:eastAsia="KaiTi" w:cs="KaiTi"/>
          <w:sz w:val="29"/>
          <w:szCs w:val="29"/>
        </w:rPr>
      </w:pPr>
      <w:r>
        <w:rPr>
          <w:rFonts w:ascii="KaiTi" w:hAnsi="KaiTi" w:eastAsia="KaiTi" w:cs="KaiTi"/>
          <w:sz w:val="29"/>
          <w:szCs w:val="29"/>
          <w:b/>
          <w:bCs/>
          <w:spacing w:val="-13"/>
        </w:rPr>
        <w:t>三、遴选对象</w:t>
      </w:r>
    </w:p>
    <w:p>
      <w:pPr>
        <w:spacing w:line="225" w:lineRule="auto"/>
        <w:sectPr>
          <w:footerReference w:type="default" r:id="rId1"/>
          <w:pgSz w:w="11560" w:h="16490"/>
          <w:pgMar w:top="1401" w:right="1209" w:bottom="1207" w:left="1469" w:header="0" w:footer="907" w:gutter="0"/>
        </w:sectPr>
        <w:rPr>
          <w:rFonts w:ascii="KaiTi" w:hAnsi="KaiTi" w:eastAsia="KaiTi" w:cs="KaiTi"/>
          <w:sz w:val="29"/>
          <w:szCs w:val="29"/>
        </w:rPr>
      </w:pPr>
    </w:p>
    <w:p>
      <w:pPr>
        <w:spacing w:line="250" w:lineRule="auto"/>
        <w:rPr>
          <w:rFonts w:ascii="Arial"/>
          <w:sz w:val="21"/>
        </w:rPr>
      </w:pPr>
      <w:r/>
    </w:p>
    <w:p>
      <w:pPr>
        <w:spacing w:line="250" w:lineRule="auto"/>
        <w:rPr>
          <w:rFonts w:ascii="Arial"/>
          <w:sz w:val="21"/>
        </w:rPr>
      </w:pPr>
      <w:r/>
    </w:p>
    <w:p>
      <w:pPr>
        <w:pStyle w:val="BodyText"/>
        <w:ind w:left="39" w:right="93" w:firstLine="560"/>
        <w:spacing w:before="91" w:line="412" w:lineRule="auto"/>
        <w:rPr/>
      </w:pPr>
      <w:r>
        <w:rPr>
          <w:spacing w:val="-3"/>
        </w:rPr>
        <w:t>2027届文化产业管理、网络与新媒体、网络与新媒体(中外联合培养)</w:t>
      </w:r>
      <w:r>
        <w:rPr/>
        <w:t xml:space="preserve"> </w:t>
      </w:r>
      <w:r>
        <w:rPr>
          <w:spacing w:val="-4"/>
        </w:rPr>
        <w:t>符合申请条件的全日制本科学生。</w:t>
      </w:r>
    </w:p>
    <w:p>
      <w:pPr>
        <w:pStyle w:val="BodyText"/>
        <w:ind w:left="600"/>
        <w:spacing w:line="220" w:lineRule="auto"/>
        <w:rPr>
          <w:sz w:val="29"/>
          <w:szCs w:val="29"/>
        </w:rPr>
      </w:pPr>
      <w:r>
        <w:rPr>
          <w:sz w:val="29"/>
          <w:szCs w:val="29"/>
          <w:spacing w:val="-11"/>
        </w:rPr>
        <w:t>四、申请条件</w:t>
      </w:r>
    </w:p>
    <w:p>
      <w:pPr>
        <w:pStyle w:val="BodyText"/>
        <w:ind w:left="39" w:right="65" w:firstLine="720"/>
        <w:spacing w:before="292" w:line="361" w:lineRule="auto"/>
        <w:rPr/>
      </w:pPr>
      <w:r>
        <w:rPr/>
        <w:t>(一)拥护中国共产党的领导，遵纪守法、诚实</w:t>
      </w:r>
      <w:r>
        <w:rPr>
          <w:spacing w:val="-1"/>
        </w:rPr>
        <w:t>守信、品行优良、身</w:t>
      </w:r>
      <w:r>
        <w:rPr/>
        <w:t xml:space="preserve"> </w:t>
      </w:r>
      <w:r>
        <w:rPr>
          <w:spacing w:val="-4"/>
        </w:rPr>
        <w:t>心健康、全面发展，在大学学习期间无任何违法</w:t>
      </w:r>
      <w:r>
        <w:rPr>
          <w:spacing w:val="-5"/>
        </w:rPr>
        <w:t>违纪受处分记录的国家普</w:t>
      </w:r>
      <w:r>
        <w:rPr/>
        <w:t xml:space="preserve"> </w:t>
      </w:r>
      <w:r>
        <w:rPr>
          <w:spacing w:val="-6"/>
        </w:rPr>
        <w:t>通本科招生计划录取的全日制应届毕业生(不</w:t>
      </w:r>
      <w:r>
        <w:rPr>
          <w:spacing w:val="-7"/>
        </w:rPr>
        <w:t>含委培生、定向生、专升本、</w:t>
      </w:r>
      <w:r>
        <w:rPr/>
        <w:t xml:space="preserve"> </w:t>
      </w:r>
      <w:r>
        <w:rPr>
          <w:spacing w:val="6"/>
        </w:rPr>
        <w:t>第二学士学位学生)。</w:t>
      </w:r>
    </w:p>
    <w:p>
      <w:pPr>
        <w:pStyle w:val="BodyText"/>
        <w:ind w:left="39" w:firstLine="720"/>
        <w:spacing w:before="259" w:line="367" w:lineRule="auto"/>
        <w:rPr/>
      </w:pPr>
      <w:r>
        <w:rPr/>
        <w:t>(二)非术科类专业学生，须学习成绩优秀，入校在读期间</w:t>
      </w:r>
      <w:r>
        <w:rPr>
          <w:spacing w:val="-1"/>
        </w:rPr>
        <w:t>所有学分</w:t>
      </w:r>
      <w:r>
        <w:rPr/>
        <w:t xml:space="preserve"> </w:t>
      </w:r>
      <w:r>
        <w:rPr>
          <w:spacing w:val="4"/>
        </w:rPr>
        <w:t>课程(不计辅修、双专业、双学位课程)平均学分绩</w:t>
      </w:r>
      <w:r>
        <w:rPr>
          <w:spacing w:val="3"/>
        </w:rPr>
        <w:t>点在3.0以上(含3.0),</w:t>
      </w:r>
      <w:r>
        <w:rPr/>
        <w:t xml:space="preserve"> </w:t>
      </w:r>
      <w:r>
        <w:rPr>
          <w:spacing w:val="4"/>
        </w:rPr>
        <w:t>且专业排名在同届同专业前50%内(国家基础学科拔尖</w:t>
      </w:r>
      <w:r>
        <w:rPr>
          <w:spacing w:val="3"/>
        </w:rPr>
        <w:t>学生培养基地班学</w:t>
      </w:r>
      <w:r>
        <w:rPr/>
        <w:t xml:space="preserve">  </w:t>
      </w:r>
      <w:r>
        <w:rPr>
          <w:spacing w:val="7"/>
        </w:rPr>
        <w:t>生除外)。所有学分课程(不计辅修、双专业、双学位课程)无不及格或</w:t>
      </w:r>
      <w:r>
        <w:rPr>
          <w:spacing w:val="5"/>
        </w:rPr>
        <w:t xml:space="preserve">  </w:t>
      </w:r>
      <w:r>
        <w:rPr>
          <w:spacing w:val="-1"/>
        </w:rPr>
        <w:t>重修记录。非英语、翻译专业学生的全国大学英语四级考试成绩不低于</w:t>
      </w:r>
    </w:p>
    <w:p>
      <w:pPr>
        <w:pStyle w:val="BodyText"/>
        <w:ind w:left="39"/>
        <w:spacing w:before="270" w:line="221" w:lineRule="auto"/>
        <w:rPr/>
      </w:pPr>
      <w:r>
        <w:rPr>
          <w:spacing w:val="26"/>
        </w:rPr>
        <w:t>425分，或雅思不低于6.0分，或托福</w:t>
      </w:r>
      <w:r>
        <w:rPr>
          <w:spacing w:val="25"/>
        </w:rPr>
        <w:t>不低于90分。</w:t>
      </w:r>
    </w:p>
    <w:p>
      <w:pPr>
        <w:pStyle w:val="BodyText"/>
        <w:ind w:left="600"/>
        <w:spacing w:before="295" w:line="222" w:lineRule="auto"/>
        <w:rPr/>
      </w:pPr>
      <w:r>
        <w:rPr>
          <w:spacing w:val="-4"/>
        </w:rPr>
        <w:t>五</w:t>
      </w:r>
      <w:r>
        <w:rPr>
          <w:spacing w:val="-67"/>
        </w:rPr>
        <w:t xml:space="preserve"> </w:t>
      </w:r>
      <w:r>
        <w:rPr>
          <w:spacing w:val="-4"/>
        </w:rPr>
        <w:t>、计分方法(含计算公式)</w:t>
      </w:r>
    </w:p>
    <w:p>
      <w:pPr>
        <w:pStyle w:val="BodyText"/>
        <w:ind w:left="39" w:right="112" w:firstLine="720"/>
        <w:spacing w:before="280" w:line="353" w:lineRule="auto"/>
        <w:rPr/>
      </w:pPr>
      <w:r>
        <w:rPr/>
        <w:t>(一)实行百分制的综合计分法，按综合排名择优选拔。综合得分由</w:t>
      </w:r>
      <w:r>
        <w:rPr>
          <w:spacing w:val="1"/>
        </w:rPr>
        <w:t xml:space="preserve"> </w:t>
      </w:r>
      <w:r>
        <w:rPr>
          <w:spacing w:val="4"/>
        </w:rPr>
        <w:t>在校期间学业成绩(不计辅修、双专业、双学位课程)、奖励加分两部分</w:t>
      </w:r>
      <w:r>
        <w:rPr>
          <w:spacing w:val="8"/>
        </w:rPr>
        <w:t xml:space="preserve"> </w:t>
      </w:r>
      <w:r>
        <w:rPr>
          <w:spacing w:val="12"/>
        </w:rPr>
        <w:t>构成，以学业成绩占80%,奖励加分占20%,计入综合得分，按综合得分</w:t>
      </w:r>
      <w:r>
        <w:rPr>
          <w:spacing w:val="8"/>
        </w:rPr>
        <w:t xml:space="preserve"> </w:t>
      </w:r>
      <w:r>
        <w:rPr>
          <w:spacing w:val="-7"/>
        </w:rPr>
        <w:t>高低排序遴选推荐。</w:t>
      </w:r>
    </w:p>
    <w:p>
      <w:pPr>
        <w:pStyle w:val="BodyText"/>
        <w:ind w:left="170" w:right="92" w:firstLine="550"/>
        <w:spacing w:before="331" w:line="314" w:lineRule="auto"/>
        <w:rPr/>
      </w:pPr>
      <w:r>
        <w:rPr>
          <w:spacing w:val="3"/>
        </w:rPr>
        <w:t>(二)学业成绩指入学起始时间至推免时止所修读的所有学分课程</w:t>
      </w:r>
      <w:r>
        <w:rPr>
          <w:spacing w:val="6"/>
        </w:rPr>
        <w:t xml:space="preserve">  </w:t>
      </w:r>
      <w:r>
        <w:rPr>
          <w:spacing w:val="1"/>
        </w:rPr>
        <w:t>(不计辅修、双专业、双学位课程)的绩点折合百分制成绩。参加国(境)</w:t>
      </w:r>
    </w:p>
    <w:p>
      <w:pPr>
        <w:spacing w:line="314" w:lineRule="auto"/>
        <w:sectPr>
          <w:footerReference w:type="default" r:id="rId2"/>
          <w:pgSz w:w="11560" w:h="16490"/>
          <w:pgMar w:top="1401" w:right="1154" w:bottom="1204" w:left="1409" w:header="0" w:footer="970" w:gutter="0"/>
        </w:sectPr>
        <w:rPr/>
      </w:pPr>
    </w:p>
    <w:p>
      <w:pPr>
        <w:spacing w:line="259" w:lineRule="auto"/>
        <w:rPr>
          <w:rFonts w:ascii="Arial"/>
          <w:sz w:val="21"/>
        </w:rPr>
      </w:pPr>
      <w:r/>
    </w:p>
    <w:p>
      <w:pPr>
        <w:spacing w:line="259" w:lineRule="auto"/>
        <w:rPr>
          <w:rFonts w:ascii="Arial"/>
          <w:sz w:val="21"/>
        </w:rPr>
      </w:pPr>
      <w:r/>
    </w:p>
    <w:p>
      <w:pPr>
        <w:pStyle w:val="BodyText"/>
        <w:ind w:right="115"/>
        <w:spacing w:before="91" w:line="408" w:lineRule="auto"/>
        <w:rPr/>
      </w:pPr>
      <w:r>
        <w:rPr>
          <w:spacing w:val="-2"/>
        </w:rPr>
        <w:t>内外校际交流项目的学生在交流期间的成绩如在推免工作开始前完成学</w:t>
      </w:r>
      <w:r>
        <w:rPr>
          <w:spacing w:val="4"/>
        </w:rPr>
        <w:t xml:space="preserve">  </w:t>
      </w:r>
      <w:r>
        <w:rPr>
          <w:spacing w:val="-5"/>
        </w:rPr>
        <w:t>分转换的，统一纳入学业成绩；未在推免工作开始前完成学分转换的，不</w:t>
      </w:r>
      <w:r>
        <w:rPr>
          <w:spacing w:val="13"/>
        </w:rPr>
        <w:t xml:space="preserve"> </w:t>
      </w:r>
      <w:r>
        <w:rPr>
          <w:spacing w:val="-5"/>
        </w:rPr>
        <w:t>纳入学业成绩，不享受交换学习加分。各学院应结合本院实际情况对学生</w:t>
      </w:r>
      <w:r>
        <w:rPr>
          <w:spacing w:val="11"/>
        </w:rPr>
        <w:t xml:space="preserve"> </w:t>
      </w:r>
      <w:r>
        <w:rPr>
          <w:spacing w:val="-4"/>
        </w:rPr>
        <w:t>在外校交流所获得的成绩进行合理认定。</w:t>
      </w:r>
    </w:p>
    <w:p>
      <w:pPr>
        <w:pStyle w:val="BodyText"/>
        <w:ind w:right="66" w:firstLine="739"/>
        <w:spacing w:before="2" w:line="395" w:lineRule="auto"/>
        <w:rPr/>
      </w:pPr>
      <w:r>
        <w:rPr>
          <w:spacing w:val="-4"/>
        </w:rPr>
        <w:t>(三)计分公式：总分=学业成绩×80%+奖励加分原始分数×20%。(奖</w:t>
      </w:r>
      <w:r>
        <w:rPr>
          <w:spacing w:val="2"/>
        </w:rPr>
        <w:t xml:space="preserve"> </w:t>
      </w:r>
      <w:r>
        <w:rPr>
          <w:spacing w:val="3"/>
        </w:rPr>
        <w:t>励加分20分封顶)</w:t>
      </w:r>
    </w:p>
    <w:p>
      <w:pPr>
        <w:pStyle w:val="BodyText"/>
        <w:ind w:left="610"/>
        <w:spacing w:line="222" w:lineRule="auto"/>
        <w:rPr>
          <w:sz w:val="30"/>
          <w:szCs w:val="30"/>
        </w:rPr>
      </w:pPr>
      <w:r>
        <w:rPr>
          <w:sz w:val="30"/>
          <w:szCs w:val="30"/>
          <w:spacing w:val="-22"/>
        </w:rPr>
        <w:t>六、同分排序规则：</w:t>
      </w:r>
    </w:p>
    <w:p>
      <w:pPr>
        <w:pStyle w:val="BodyText"/>
        <w:spacing w:before="266" w:line="222" w:lineRule="auto"/>
        <w:jc w:val="right"/>
        <w:rPr/>
      </w:pPr>
      <w:r>
        <w:rPr>
          <w:spacing w:val="-12"/>
        </w:rPr>
        <w:t>若学生综合成绩出现同分，按以下顺序依次比较，直至确定排序先后：</w:t>
      </w:r>
    </w:p>
    <w:p>
      <w:pPr>
        <w:pStyle w:val="BodyText"/>
        <w:ind w:left="739"/>
        <w:spacing w:before="285" w:line="222" w:lineRule="auto"/>
        <w:rPr/>
      </w:pPr>
      <w:r>
        <w:rPr>
          <w:spacing w:val="18"/>
        </w:rPr>
        <w:t>(一)学业成绩(平均绩点)高者优先；</w:t>
      </w:r>
    </w:p>
    <w:p>
      <w:pPr>
        <w:pStyle w:val="BodyText"/>
        <w:ind w:left="739"/>
        <w:spacing w:before="261" w:line="222" w:lineRule="auto"/>
        <w:rPr/>
      </w:pPr>
      <w:r>
        <w:rPr>
          <w:spacing w:val="2"/>
        </w:rPr>
        <w:t>(二)若学业成绩相同，则奖励加分总分高者优先；</w:t>
      </w:r>
    </w:p>
    <w:p>
      <w:pPr>
        <w:pStyle w:val="BodyText"/>
        <w:ind w:right="529" w:firstLine="739"/>
        <w:spacing w:before="273" w:line="314" w:lineRule="auto"/>
        <w:rPr/>
      </w:pPr>
      <w:r>
        <w:rPr>
          <w:spacing w:val="3"/>
        </w:rPr>
        <w:t>(三)若奖励加分总分相同，则依次比较“专业竞赛类”“课题</w:t>
      </w:r>
      <w:r>
        <w:rPr>
          <w:spacing w:val="15"/>
        </w:rPr>
        <w:t xml:space="preserve"> </w:t>
      </w:r>
      <w:r>
        <w:rPr>
          <w:spacing w:val="-3"/>
        </w:rPr>
        <w:t>类”“其他类”“论文作品类”“专利类”单项加分，高者优先；</w:t>
      </w:r>
    </w:p>
    <w:p>
      <w:pPr>
        <w:pStyle w:val="BodyText"/>
        <w:ind w:left="739"/>
        <w:spacing w:before="286" w:line="220" w:lineRule="auto"/>
        <w:rPr/>
      </w:pPr>
      <w:r>
        <w:rPr>
          <w:spacing w:val="2"/>
        </w:rPr>
        <w:t>(四)若仍相同，由学院推免工作小组以投票方式决定排序。</w:t>
      </w:r>
    </w:p>
    <w:p>
      <w:pPr>
        <w:pStyle w:val="BodyText"/>
        <w:ind w:left="610"/>
        <w:spacing w:before="261" w:line="222" w:lineRule="auto"/>
        <w:rPr>
          <w:sz w:val="30"/>
          <w:szCs w:val="30"/>
        </w:rPr>
      </w:pPr>
      <w:r>
        <w:rPr>
          <w:sz w:val="30"/>
          <w:szCs w:val="30"/>
          <w:spacing w:val="-17"/>
        </w:rPr>
        <w:t>七、奖励加分细则</w:t>
      </w:r>
    </w:p>
    <w:p>
      <w:pPr>
        <w:pStyle w:val="BodyText"/>
        <w:ind w:right="88" w:firstLine="499"/>
        <w:spacing w:before="264" w:line="409" w:lineRule="auto"/>
        <w:rPr/>
      </w:pPr>
      <w:r>
        <w:rPr>
          <w:spacing w:val="-2"/>
        </w:rPr>
        <w:t>推免奖励加分分为五类：论文作品类、课题类、专业竞赛类、发明专</w:t>
      </w:r>
      <w:r>
        <w:rPr/>
        <w:t xml:space="preserve"> </w:t>
      </w:r>
      <w:r>
        <w:rPr>
          <w:spacing w:val="-7"/>
        </w:rPr>
        <w:t>利类、其他类。</w:t>
      </w:r>
    </w:p>
    <w:p>
      <w:pPr>
        <w:pStyle w:val="BodyText"/>
        <w:ind w:left="610"/>
        <w:spacing w:line="220" w:lineRule="auto"/>
        <w:rPr/>
      </w:pPr>
      <w:r>
        <w:rPr>
          <w:spacing w:val="11"/>
        </w:rPr>
        <w:t>(一)论文作品类加分细则</w:t>
      </w:r>
    </w:p>
    <w:p>
      <w:pPr>
        <w:pStyle w:val="BodyText"/>
        <w:ind w:right="88" w:firstLine="579"/>
        <w:spacing w:before="274" w:line="406" w:lineRule="auto"/>
        <w:jc w:val="both"/>
        <w:rPr/>
      </w:pPr>
      <w:r>
        <w:rPr>
          <w:spacing w:val="3"/>
        </w:rPr>
        <w:t>1.在</w:t>
      </w:r>
      <w:r>
        <w:rPr>
          <w:rFonts w:ascii="Times New Roman" w:hAnsi="Times New Roman" w:eastAsia="Times New Roman" w:cs="Times New Roman"/>
          <w:spacing w:val="3"/>
        </w:rPr>
        <w:t>T</w:t>
      </w:r>
      <w:r>
        <w:rPr>
          <w:rFonts w:ascii="SimSun" w:hAnsi="SimSun" w:eastAsia="SimSun" w:cs="SimSun"/>
          <w:spacing w:val="3"/>
        </w:rPr>
        <w:t>、</w:t>
      </w:r>
      <w:r>
        <w:rPr>
          <w:rFonts w:ascii="Times New Roman" w:hAnsi="Times New Roman" w:eastAsia="Times New Roman" w:cs="Times New Roman"/>
          <w:spacing w:val="3"/>
        </w:rPr>
        <w:t>A</w:t>
      </w:r>
      <w:r>
        <w:rPr>
          <w:rFonts w:ascii="SimSun" w:hAnsi="SimSun" w:eastAsia="SimSun" w:cs="SimSun"/>
          <w:spacing w:val="3"/>
        </w:rPr>
        <w:t>、</w:t>
      </w:r>
      <w:r>
        <w:rPr>
          <w:rFonts w:ascii="Times New Roman" w:hAnsi="Times New Roman" w:eastAsia="Times New Roman" w:cs="Times New Roman"/>
          <w:spacing w:val="3"/>
        </w:rPr>
        <w:t>B</w:t>
      </w:r>
      <w:r>
        <w:rPr>
          <w:spacing w:val="3"/>
        </w:rPr>
        <w:t>类刊物(刊物分类以学校有关文件为准):</w:t>
      </w:r>
      <w:r>
        <w:rPr>
          <w:rFonts w:ascii="Times New Roman" w:hAnsi="Times New Roman" w:eastAsia="Times New Roman" w:cs="Times New Roman"/>
          <w:spacing w:val="3"/>
        </w:rPr>
        <w:t>T</w:t>
      </w:r>
      <w:r>
        <w:rPr>
          <w:spacing w:val="3"/>
        </w:rPr>
        <w:t>类第一作者</w:t>
      </w:r>
      <w:r>
        <w:rPr>
          <w:spacing w:val="10"/>
        </w:rPr>
        <w:t xml:space="preserve"> </w:t>
      </w:r>
      <w:r>
        <w:rPr>
          <w:spacing w:val="-8"/>
        </w:rPr>
        <w:t>—--40分，第二作者---30分，第三作者---20分；</w:t>
      </w:r>
      <w:r>
        <w:rPr>
          <w:rFonts w:ascii="Times New Roman" w:hAnsi="Times New Roman" w:eastAsia="Times New Roman" w:cs="Times New Roman"/>
          <w:spacing w:val="-8"/>
        </w:rPr>
        <w:t>A</w:t>
      </w:r>
      <w:r>
        <w:rPr>
          <w:spacing w:val="-8"/>
        </w:rPr>
        <w:t>类第一作者-—-20分，</w:t>
      </w:r>
      <w:r>
        <w:rPr>
          <w:spacing w:val="14"/>
        </w:rPr>
        <w:t xml:space="preserve"> </w:t>
      </w:r>
      <w:r>
        <w:rPr>
          <w:spacing w:val="2"/>
        </w:rPr>
        <w:t>第二作者---15分，第三作者---10分；</w:t>
      </w:r>
      <w:r>
        <w:rPr>
          <w:rFonts w:ascii="Times New Roman" w:hAnsi="Times New Roman" w:eastAsia="Times New Roman" w:cs="Times New Roman"/>
          <w:spacing w:val="2"/>
        </w:rPr>
        <w:t>B</w:t>
      </w:r>
      <w:r>
        <w:rPr>
          <w:spacing w:val="2"/>
        </w:rPr>
        <w:t>类</w:t>
      </w:r>
      <w:r>
        <w:rPr>
          <w:spacing w:val="1"/>
        </w:rPr>
        <w:t>第一作者---15分，第二作者</w:t>
      </w:r>
    </w:p>
    <w:p>
      <w:pPr>
        <w:spacing w:line="406" w:lineRule="auto"/>
        <w:sectPr>
          <w:footerReference w:type="default" r:id="rId3"/>
          <w:pgSz w:w="11560" w:h="16490"/>
          <w:pgMar w:top="1401" w:right="1210" w:bottom="1227" w:left="1420" w:header="0" w:footer="929" w:gutter="0"/>
        </w:sectPr>
        <w:rPr/>
      </w:pPr>
    </w:p>
    <w:p>
      <w:pPr>
        <w:spacing w:line="270" w:lineRule="auto"/>
        <w:rPr>
          <w:rFonts w:ascii="Arial"/>
          <w:sz w:val="21"/>
        </w:rPr>
      </w:pPr>
      <w:r/>
    </w:p>
    <w:p>
      <w:pPr>
        <w:spacing w:line="270" w:lineRule="auto"/>
        <w:rPr>
          <w:rFonts w:ascii="Arial"/>
          <w:sz w:val="21"/>
        </w:rPr>
      </w:pPr>
      <w:r/>
    </w:p>
    <w:p>
      <w:pPr>
        <w:pStyle w:val="BodyText"/>
        <w:ind w:left="39"/>
        <w:spacing w:before="91" w:line="220" w:lineRule="auto"/>
        <w:rPr/>
      </w:pPr>
      <w:r>
        <w:rPr>
          <w:spacing w:val="-2"/>
        </w:rPr>
        <w:t>---10分，第三作者---6分。</w:t>
      </w:r>
    </w:p>
    <w:p>
      <w:pPr>
        <w:pStyle w:val="BodyText"/>
        <w:ind w:left="580"/>
        <w:spacing w:before="296" w:line="220" w:lineRule="auto"/>
        <w:rPr>
          <w:sz w:val="26"/>
          <w:szCs w:val="26"/>
        </w:rPr>
      </w:pPr>
      <w:r>
        <w:rPr>
          <w:rFonts w:ascii="Times New Roman" w:hAnsi="Times New Roman" w:eastAsia="Times New Roman" w:cs="Times New Roman"/>
          <w:sz w:val="26"/>
          <w:szCs w:val="26"/>
          <w:spacing w:val="9"/>
        </w:rPr>
        <w:t>2.</w:t>
      </w:r>
      <w:r>
        <w:rPr>
          <w:rFonts w:ascii="Times New Roman" w:hAnsi="Times New Roman" w:eastAsia="Times New Roman" w:cs="Times New Roman"/>
          <w:sz w:val="26"/>
          <w:szCs w:val="26"/>
          <w:spacing w:val="28"/>
          <w:w w:val="101"/>
        </w:rPr>
        <w:t xml:space="preserve"> </w:t>
      </w:r>
      <w:r>
        <w:rPr>
          <w:sz w:val="26"/>
          <w:szCs w:val="26"/>
          <w:spacing w:val="9"/>
        </w:rPr>
        <w:t>其它论文和作品：</w:t>
      </w:r>
    </w:p>
    <w:p>
      <w:pPr>
        <w:pStyle w:val="BodyText"/>
        <w:ind w:left="39" w:right="20" w:firstLine="700"/>
        <w:spacing w:before="279" w:line="409" w:lineRule="auto"/>
        <w:rPr/>
      </w:pPr>
      <w:r>
        <w:rPr>
          <w:spacing w:val="-6"/>
        </w:rPr>
        <w:t>(1)北大中文核心期刊和</w:t>
      </w:r>
      <w:r>
        <w:rPr>
          <w:rFonts w:ascii="Times New Roman" w:hAnsi="Times New Roman" w:eastAsia="Times New Roman" w:cs="Times New Roman"/>
          <w:spacing w:val="-6"/>
        </w:rPr>
        <w:t>CSSCI</w:t>
      </w:r>
      <w:r>
        <w:rPr>
          <w:spacing w:val="-6"/>
        </w:rPr>
        <w:t>扩展版核心期</w:t>
      </w:r>
      <w:r>
        <w:rPr>
          <w:spacing w:val="-7"/>
        </w:rPr>
        <w:t>刊第一作者-—-8分，第</w:t>
      </w:r>
      <w:r>
        <w:rPr/>
        <w:t xml:space="preserve"> </w:t>
      </w:r>
      <w:r>
        <w:rPr>
          <w:spacing w:val="-10"/>
        </w:rPr>
        <w:t>二作者---5分，第三作者-—-2分；</w:t>
      </w:r>
    </w:p>
    <w:p>
      <w:pPr>
        <w:pStyle w:val="BodyText"/>
        <w:ind w:left="39" w:right="30" w:firstLine="700"/>
        <w:spacing w:before="1" w:line="409" w:lineRule="auto"/>
        <w:rPr/>
      </w:pPr>
      <w:r>
        <w:rPr/>
        <w:t>(2)非核心期刊第一作者---2分，第二作</w:t>
      </w:r>
      <w:r>
        <w:rPr>
          <w:spacing w:val="-1"/>
        </w:rPr>
        <w:t>者--1分。本项每人总共最</w:t>
      </w:r>
      <w:r>
        <w:rPr/>
        <w:t xml:space="preserve"> </w:t>
      </w:r>
      <w:r>
        <w:rPr>
          <w:spacing w:val="-8"/>
        </w:rPr>
        <w:t>多只能提交3项。</w:t>
      </w:r>
    </w:p>
    <w:p>
      <w:pPr>
        <w:pStyle w:val="BodyText"/>
        <w:ind w:left="39" w:right="28" w:firstLine="540"/>
        <w:spacing w:before="2" w:line="392" w:lineRule="auto"/>
        <w:rPr/>
      </w:pPr>
      <w:r>
        <w:rPr>
          <w:spacing w:val="-4"/>
        </w:rPr>
        <w:t>注：论文须与专业相关，且字数不低于3500个字。学术期刊应</w:t>
      </w:r>
      <w:r>
        <w:rPr>
          <w:spacing w:val="-5"/>
        </w:rPr>
        <w:t>该是被</w:t>
      </w:r>
      <w:r>
        <w:rPr/>
        <w:t xml:space="preserve"> </w:t>
      </w:r>
      <w:r>
        <w:rPr>
          <w:spacing w:val="-18"/>
        </w:rPr>
        <w:t>国</w:t>
      </w:r>
      <w:r>
        <w:rPr>
          <w:spacing w:val="7"/>
        </w:rPr>
        <w:t xml:space="preserve">        </w:t>
      </w:r>
      <w:r>
        <w:rPr>
          <w:spacing w:val="-18"/>
        </w:rPr>
        <w:t>家</w:t>
      </w:r>
      <w:r>
        <w:rPr>
          <w:spacing w:val="4"/>
        </w:rPr>
        <w:t xml:space="preserve">        </w:t>
      </w:r>
      <w:r>
        <w:rPr>
          <w:spacing w:val="-18"/>
        </w:rPr>
        <w:t>新</w:t>
      </w:r>
      <w:r>
        <w:rPr>
          <w:spacing w:val="14"/>
        </w:rPr>
        <w:t xml:space="preserve">        </w:t>
      </w:r>
      <w:r>
        <w:rPr>
          <w:spacing w:val="-18"/>
        </w:rPr>
        <w:t>闻</w:t>
      </w:r>
      <w:r>
        <w:rPr>
          <w:spacing w:val="16"/>
        </w:rPr>
        <w:t xml:space="preserve">       </w:t>
      </w:r>
      <w:r>
        <w:rPr>
          <w:spacing w:val="-18"/>
        </w:rPr>
        <w:t>出</w:t>
      </w:r>
      <w:r>
        <w:rPr>
          <w:spacing w:val="-18"/>
        </w:rPr>
        <w:t xml:space="preserve">          </w:t>
      </w:r>
      <w:r>
        <w:rPr>
          <w:spacing w:val="-18"/>
        </w:rPr>
        <w:t>版</w:t>
      </w:r>
      <w:r>
        <w:rPr>
          <w:spacing w:val="-18"/>
        </w:rPr>
        <w:t xml:space="preserve">   </w:t>
      </w:r>
      <w:r>
        <w:rPr>
          <w:spacing w:val="-19"/>
        </w:rPr>
        <w:t xml:space="preserve">      </w:t>
      </w:r>
      <w:r>
        <w:rPr>
          <w:spacing w:val="-19"/>
          <w:position w:val="3"/>
        </w:rPr>
        <w:t>署</w:t>
      </w:r>
    </w:p>
    <w:p>
      <w:pPr>
        <w:pStyle w:val="BodyText"/>
        <w:ind w:left="39" w:firstLine="150"/>
        <w:spacing w:line="398" w:lineRule="auto"/>
        <w:tabs>
          <w:tab w:val="left" w:pos="178"/>
        </w:tabs>
        <w:jc w:val="both"/>
        <w:rPr/>
      </w:pPr>
      <w:r>
        <w:rPr>
          <w:rFonts w:ascii="Times New Roman" w:hAnsi="Times New Roman" w:eastAsia="Times New Roman" w:cs="Times New Roman"/>
          <w:spacing w:val="1"/>
        </w:rPr>
        <w:t>(</w:t>
      </w:r>
      <w:hyperlink w:history="true" r:id="rId5">
        <w:r>
          <w:rPr>
            <w:rFonts w:ascii="Times New Roman" w:hAnsi="Times New Roman" w:eastAsia="Times New Roman" w:cs="Times New Roman"/>
          </w:rPr>
          <w:t>http</w:t>
        </w:r>
        <w:r>
          <w:rPr>
            <w:rFonts w:ascii="Times New Roman" w:hAnsi="Times New Roman" w:eastAsia="Times New Roman" w:cs="Times New Roman"/>
            <w:spacing w:val="1"/>
          </w:rPr>
          <w:t>://     </w:t>
        </w:r>
        <w:r>
          <w:rPr>
            <w:rFonts w:ascii="Times New Roman" w:hAnsi="Times New Roman" w:eastAsia="Times New Roman" w:cs="Times New Roman"/>
          </w:rPr>
          <w:t>www</w:t>
        </w:r>
        <w:r>
          <w:rPr>
            <w:rFonts w:ascii="Times New Roman" w:hAnsi="Times New Roman" w:eastAsia="Times New Roman" w:cs="Times New Roman"/>
            <w:spacing w:val="1"/>
          </w:rPr>
          <w:t>.</w:t>
        </w:r>
        <w:r>
          <w:rPr>
            <w:rFonts w:ascii="Times New Roman" w:hAnsi="Times New Roman" w:eastAsia="Times New Roman" w:cs="Times New Roman"/>
          </w:rPr>
          <w:t>nppa</w:t>
        </w:r>
        <w:r>
          <w:rPr>
            <w:rFonts w:ascii="Times New Roman" w:hAnsi="Times New Roman" w:eastAsia="Times New Roman" w:cs="Times New Roman"/>
            <w:spacing w:val="1"/>
          </w:rPr>
          <w:t>.</w:t>
        </w:r>
        <w:r>
          <w:rPr>
            <w:rFonts w:ascii="Times New Roman" w:hAnsi="Times New Roman" w:eastAsia="Times New Roman" w:cs="Times New Roman"/>
          </w:rPr>
          <w:t>gov</w:t>
        </w:r>
        <w:r>
          <w:rPr>
            <w:rFonts w:ascii="Times New Roman" w:hAnsi="Times New Roman" w:eastAsia="Times New Roman" w:cs="Times New Roman"/>
            <w:spacing w:val="1"/>
          </w:rPr>
          <w:t>.</w:t>
        </w:r>
        <w:r>
          <w:rPr>
            <w:rFonts w:ascii="Times New Roman" w:hAnsi="Times New Roman" w:eastAsia="Times New Roman" w:cs="Times New Roman"/>
          </w:rPr>
          <w:t>cn</w:t>
        </w:r>
        <w:r>
          <w:rPr>
            <w:rFonts w:ascii="Times New Roman" w:hAnsi="Times New Roman" w:eastAsia="Times New Roman" w:cs="Times New Roman"/>
            <w:spacing w:val="1"/>
          </w:rPr>
          <w:t>/</w:t>
        </w:r>
        <w:r>
          <w:rPr>
            <w:rFonts w:ascii="Times New Roman" w:hAnsi="Times New Roman" w:eastAsia="Times New Roman" w:cs="Times New Roman"/>
          </w:rPr>
          <w:t>nppa</w:t>
        </w:r>
        <w:r>
          <w:rPr>
            <w:rFonts w:ascii="Times New Roman" w:hAnsi="Times New Roman" w:eastAsia="Times New Roman" w:cs="Times New Roman"/>
            <w:spacing w:val="1"/>
          </w:rPr>
          <w:t>/</w:t>
        </w:r>
        <w:r>
          <w:rPr>
            <w:rFonts w:ascii="Times New Roman" w:hAnsi="Times New Roman" w:eastAsia="Times New Roman" w:cs="Times New Roman"/>
          </w:rPr>
          <w:t>publishing</w:t>
        </w:r>
        <w:r>
          <w:rPr>
            <w:rFonts w:ascii="Times New Roman" w:hAnsi="Times New Roman" w:eastAsia="Times New Roman" w:cs="Times New Roman"/>
            <w:spacing w:val="1"/>
          </w:rPr>
          <w:t>/</w:t>
        </w:r>
        <w:r>
          <w:rPr>
            <w:rFonts w:ascii="Times New Roman" w:hAnsi="Times New Roman" w:eastAsia="Times New Roman" w:cs="Times New Roman"/>
          </w:rPr>
          <w:t>magazine</w:t>
        </w:r>
        <w:r>
          <w:rPr>
            <w:rFonts w:ascii="Times New Roman" w:hAnsi="Times New Roman" w:eastAsia="Times New Roman" w:cs="Times New Roman"/>
            <w:spacing w:val="1"/>
          </w:rPr>
          <w:t xml:space="preserve">       </w:t>
        </w:r>
        <w:r>
          <w:rPr>
            <w:spacing w:val="1"/>
          </w:rPr>
          <w:t>.</w:t>
        </w:r>
        <w:r>
          <w:rPr>
            <w:rFonts w:ascii="Times New Roman" w:hAnsi="Times New Roman" w:eastAsia="Times New Roman" w:cs="Times New Roman"/>
          </w:rPr>
          <w:t>shtml</w:t>
        </w:r>
      </w:hyperlink>
      <w:r>
        <w:rPr>
          <w:rFonts w:ascii="Times New Roman" w:hAnsi="Times New Roman" w:eastAsia="Times New Roman" w:cs="Times New Roman"/>
          <w:spacing w:val="1"/>
        </w:rPr>
        <w:t>)    </w:t>
      </w:r>
      <w:r>
        <w:rPr>
          <w:spacing w:val="1"/>
        </w:rPr>
        <w:t>登记注</w:t>
      </w:r>
      <w:r>
        <w:rPr/>
        <w:t xml:space="preserve"> </w:t>
      </w:r>
      <w:r>
        <w:rPr>
          <w:spacing w:val="9"/>
        </w:rPr>
        <w:t>册的正式期刊，且被中国知网(</w:t>
      </w:r>
      <w:r>
        <w:rPr>
          <w:spacing w:val="-57"/>
        </w:rPr>
        <w:t xml:space="preserve"> </w:t>
      </w:r>
      <w:hyperlink w:history="true" r:id="rId6">
        <w:r>
          <w:rPr>
            <w:rFonts w:ascii="Times New Roman" w:hAnsi="Times New Roman" w:eastAsia="Times New Roman" w:cs="Times New Roman"/>
          </w:rPr>
          <w:t>https</w:t>
        </w:r>
        <w:r>
          <w:rPr>
            <w:rFonts w:ascii="Times New Roman" w:hAnsi="Times New Roman" w:eastAsia="Times New Roman" w:cs="Times New Roman"/>
            <w:spacing w:val="9"/>
          </w:rPr>
          <w:t>://</w:t>
        </w:r>
        <w:r>
          <w:rPr>
            <w:rFonts w:ascii="Times New Roman" w:hAnsi="Times New Roman" w:eastAsia="Times New Roman" w:cs="Times New Roman"/>
          </w:rPr>
          <w:t>www</w:t>
        </w:r>
        <w:r>
          <w:rPr>
            <w:rFonts w:ascii="Times New Roman" w:hAnsi="Times New Roman" w:eastAsia="Times New Roman" w:cs="Times New Roman"/>
            <w:spacing w:val="9"/>
          </w:rPr>
          <w:t>.</w:t>
        </w:r>
        <w:r>
          <w:rPr>
            <w:rFonts w:ascii="Times New Roman" w:hAnsi="Times New Roman" w:eastAsia="Times New Roman" w:cs="Times New Roman"/>
          </w:rPr>
          <w:t>cnki</w:t>
        </w:r>
        <w:r>
          <w:rPr>
            <w:rFonts w:ascii="Times New Roman" w:hAnsi="Times New Roman" w:eastAsia="Times New Roman" w:cs="Times New Roman"/>
            <w:spacing w:val="9"/>
          </w:rPr>
          <w:t>.</w:t>
        </w:r>
        <w:r>
          <w:rPr>
            <w:rFonts w:ascii="Times New Roman" w:hAnsi="Times New Roman" w:eastAsia="Times New Roman" w:cs="Times New Roman"/>
          </w:rPr>
          <w:t>net</w:t>
        </w:r>
        <w:r>
          <w:rPr>
            <w:rFonts w:ascii="Times New Roman" w:hAnsi="Times New Roman" w:eastAsia="Times New Roman" w:cs="Times New Roman"/>
            <w:spacing w:val="9"/>
          </w:rPr>
          <w:t>/</w:t>
        </w:r>
      </w:hyperlink>
      <w:r>
        <w:rPr>
          <w:rFonts w:ascii="Times New Roman" w:hAnsi="Times New Roman" w:eastAsia="Times New Roman" w:cs="Times New Roman"/>
          <w:spacing w:val="9"/>
        </w:rPr>
        <w:t>)          </w:t>
      </w:r>
      <w:r>
        <w:rPr>
          <w:spacing w:val="9"/>
        </w:rPr>
        <w:t>或万方数据</w:t>
      </w:r>
      <w:r>
        <w:rPr/>
        <w:t xml:space="preserve"> </w:t>
      </w:r>
      <w:r>
        <w:rPr>
          <w:rFonts w:ascii="Times New Roman" w:hAnsi="Times New Roman" w:eastAsia="Times New Roman" w:cs="Times New Roman"/>
        </w:rPr>
        <w:tab/>
      </w:r>
      <w:r>
        <w:rPr>
          <w:rFonts w:ascii="Times New Roman" w:hAnsi="Times New Roman" w:eastAsia="Times New Roman" w:cs="Times New Roman"/>
          <w:spacing w:val="-1"/>
        </w:rPr>
        <w:t>(</w:t>
      </w:r>
      <w:hyperlink w:history="true" r:id="rId7">
        <w:r>
          <w:rPr>
            <w:rFonts w:ascii="Times New Roman" w:hAnsi="Times New Roman" w:eastAsia="Times New Roman" w:cs="Times New Roman"/>
            <w:spacing w:val="-1"/>
          </w:rPr>
          <w:t>h</w:t>
        </w:r>
        <w:r>
          <w:rPr>
            <w:rFonts w:ascii="Times New Roman" w:hAnsi="Times New Roman" w:eastAsia="Times New Roman" w:cs="Times New Roman"/>
            <w:spacing w:val="21"/>
          </w:rPr>
          <w:t xml:space="preserve"> </w:t>
        </w:r>
        <w:r>
          <w:rPr>
            <w:rFonts w:ascii="Times New Roman" w:hAnsi="Times New Roman" w:eastAsia="Times New Roman" w:cs="Times New Roman"/>
            <w:spacing w:val="-1"/>
          </w:rPr>
          <w:t>ttp://</w:t>
        </w:r>
        <w:r>
          <w:rPr>
            <w:rFonts w:ascii="Times New Roman" w:hAnsi="Times New Roman" w:eastAsia="Times New Roman" w:cs="Times New Roman"/>
            <w:spacing w:val="21"/>
          </w:rPr>
          <w:t xml:space="preserve">   </w:t>
        </w:r>
        <w:r>
          <w:rPr>
            <w:rFonts w:ascii="Times New Roman" w:hAnsi="Times New Roman" w:eastAsia="Times New Roman" w:cs="Times New Roman"/>
            <w:spacing w:val="-1"/>
          </w:rPr>
          <w:t>www.wanfangdata.com.cn/index.html</w:t>
        </w:r>
      </w:hyperlink>
      <w:r>
        <w:rPr>
          <w:rFonts w:ascii="Times New Roman" w:hAnsi="Times New Roman" w:eastAsia="Times New Roman" w:cs="Times New Roman"/>
          <w:spacing w:val="-1"/>
        </w:rPr>
        <w:t xml:space="preserve">    </w:t>
      </w:r>
      <w:r>
        <w:rPr>
          <w:spacing w:val="-1"/>
        </w:rPr>
        <w:t>)</w:t>
      </w:r>
      <w:r>
        <w:rPr>
          <w:spacing w:val="-38"/>
        </w:rPr>
        <w:t xml:space="preserve"> </w:t>
      </w:r>
      <w:r>
        <w:rPr>
          <w:spacing w:val="-1"/>
        </w:rPr>
        <w:t>收录的期刊。报纸或其</w:t>
      </w:r>
      <w:r>
        <w:rPr/>
        <w:t xml:space="preserve"> </w:t>
      </w:r>
      <w:r>
        <w:rPr>
          <w:spacing w:val="-3"/>
        </w:rPr>
        <w:t>它类型发表的论文以华南师范大学科研认定为标准记分。</w:t>
      </w:r>
    </w:p>
    <w:p>
      <w:pPr>
        <w:pStyle w:val="BodyText"/>
        <w:ind w:left="39" w:right="28" w:firstLine="700"/>
        <w:spacing w:before="40" w:line="400" w:lineRule="auto"/>
        <w:rPr/>
      </w:pPr>
      <w:r>
        <w:rPr>
          <w:spacing w:val="9"/>
        </w:rPr>
        <w:t>(3)国外大学学报上发表的英文论文(需要提供纸质版、图书馆检</w:t>
      </w:r>
      <w:r>
        <w:rPr/>
        <w:t xml:space="preserve"> </w:t>
      </w:r>
      <w:r>
        <w:rPr>
          <w:spacing w:val="7"/>
        </w:rPr>
        <w:t>索证明或知网收录证明),认定为与国内大学学报同等级。</w:t>
      </w:r>
    </w:p>
    <w:p>
      <w:pPr>
        <w:pStyle w:val="BodyText"/>
        <w:ind w:left="640"/>
        <w:spacing w:before="1" w:line="221" w:lineRule="auto"/>
        <w:rPr/>
      </w:pPr>
      <w:r>
        <w:rPr>
          <w:spacing w:val="14"/>
        </w:rPr>
        <w:t>(二)课题类加分细则</w:t>
      </w:r>
    </w:p>
    <w:p>
      <w:pPr>
        <w:pStyle w:val="BodyText"/>
        <w:ind w:left="39" w:right="47" w:firstLine="540"/>
        <w:spacing w:before="274" w:line="317" w:lineRule="auto"/>
        <w:rPr/>
      </w:pPr>
      <w:r>
        <w:rPr>
          <w:rFonts w:ascii="Times New Roman" w:hAnsi="Times New Roman" w:eastAsia="Times New Roman" w:cs="Times New Roman"/>
          <w:spacing w:val="3"/>
        </w:rPr>
        <w:t>1.</w:t>
      </w:r>
      <w:r>
        <w:rPr>
          <w:rFonts w:ascii="Times New Roman" w:hAnsi="Times New Roman" w:eastAsia="Times New Roman" w:cs="Times New Roman"/>
          <w:spacing w:val="39"/>
        </w:rPr>
        <w:t xml:space="preserve"> </w:t>
      </w:r>
      <w:r>
        <w:rPr>
          <w:spacing w:val="3"/>
        </w:rPr>
        <w:t>参加的科研课题研究是指参加学校和学院组织获得校级及以上科</w:t>
      </w:r>
      <w:r>
        <w:rPr/>
        <w:t xml:space="preserve"> </w:t>
      </w:r>
      <w:r>
        <w:rPr>
          <w:spacing w:val="-2"/>
        </w:rPr>
        <w:t>研项目的立项，但不包括：社会实践活动项目、非学术性活动总结等。</w:t>
      </w:r>
    </w:p>
    <w:p>
      <w:pPr>
        <w:pStyle w:val="BodyText"/>
        <w:ind w:left="39" w:right="30" w:firstLine="540"/>
        <w:spacing w:before="309" w:line="337" w:lineRule="auto"/>
        <w:rPr/>
      </w:pPr>
      <w:r>
        <w:rPr>
          <w:rFonts w:ascii="Times New Roman" w:hAnsi="Times New Roman" w:eastAsia="Times New Roman" w:cs="Times New Roman"/>
          <w:spacing w:val="-4"/>
        </w:rPr>
        <w:t>2. </w:t>
      </w:r>
      <w:r>
        <w:rPr>
          <w:spacing w:val="-4"/>
        </w:rPr>
        <w:t>课题须立项方可计分，必须要有立项证书，已结题的还</w:t>
      </w:r>
      <w:r>
        <w:rPr>
          <w:spacing w:val="-5"/>
        </w:rPr>
        <w:t>须有结题证</w:t>
      </w:r>
      <w:r>
        <w:rPr/>
        <w:t xml:space="preserve"> </w:t>
      </w:r>
      <w:r>
        <w:rPr>
          <w:spacing w:val="-6"/>
        </w:rPr>
        <w:t>书，包括导师主持、学生主持的课题，单位必须是“华南师范大学”。每</w:t>
      </w:r>
      <w:r>
        <w:rPr>
          <w:spacing w:val="18"/>
        </w:rPr>
        <w:t xml:space="preserve"> </w:t>
      </w:r>
      <w:r>
        <w:rPr>
          <w:spacing w:val="15"/>
        </w:rPr>
        <w:t>课题计分人数不超过5人，以立项书名单/结题书名单中前5人为准。</w:t>
      </w:r>
    </w:p>
    <w:p>
      <w:pPr>
        <w:spacing w:line="337" w:lineRule="auto"/>
        <w:sectPr>
          <w:footerReference w:type="default" r:id="rId4"/>
          <w:pgSz w:w="11560" w:h="16490"/>
          <w:pgMar w:top="1401" w:right="1291" w:bottom="1206" w:left="1389" w:header="0" w:footer="892" w:gutter="0"/>
        </w:sectPr>
        <w:rPr/>
      </w:pPr>
    </w:p>
    <w:p>
      <w:pPr>
        <w:spacing w:line="263" w:lineRule="auto"/>
        <w:rPr>
          <w:rFonts w:ascii="Arial"/>
          <w:sz w:val="21"/>
        </w:rPr>
      </w:pPr>
      <w:r/>
    </w:p>
    <w:p>
      <w:pPr>
        <w:spacing w:line="264" w:lineRule="auto"/>
        <w:rPr>
          <w:rFonts w:ascii="Arial"/>
          <w:sz w:val="21"/>
        </w:rPr>
      </w:pPr>
      <w:r/>
    </w:p>
    <w:p>
      <w:pPr>
        <w:pStyle w:val="BodyText"/>
        <w:ind w:left="20" w:right="92" w:firstLine="559"/>
        <w:spacing w:before="91" w:line="316" w:lineRule="auto"/>
        <w:rPr/>
      </w:pPr>
      <w:r>
        <w:rPr>
          <w:rFonts w:ascii="Times New Roman" w:hAnsi="Times New Roman" w:eastAsia="Times New Roman" w:cs="Times New Roman"/>
          <w:spacing w:val="-5"/>
        </w:rPr>
        <w:t>3. </w:t>
      </w:r>
      <w:r>
        <w:rPr>
          <w:spacing w:val="-5"/>
        </w:rPr>
        <w:t>作为课题组成员参与导师的课题研究的，学生的名字应该出现在申</w:t>
      </w:r>
      <w:r>
        <w:rPr>
          <w:spacing w:val="6"/>
        </w:rPr>
        <w:t xml:space="preserve"> </w:t>
      </w:r>
      <w:r>
        <w:rPr>
          <w:spacing w:val="-2"/>
        </w:rPr>
        <w:t>报书或者结题书参与人栏目中，跟随导师做课题等其他行为不加分。</w:t>
      </w:r>
    </w:p>
    <w:p>
      <w:pPr>
        <w:pStyle w:val="BodyText"/>
        <w:ind w:left="20" w:firstLine="559"/>
        <w:spacing w:before="287" w:line="372" w:lineRule="auto"/>
        <w:rPr/>
      </w:pPr>
      <w:r>
        <w:rPr>
          <w:rFonts w:ascii="Times New Roman" w:hAnsi="Times New Roman" w:eastAsia="Times New Roman" w:cs="Times New Roman"/>
          <w:spacing w:val="16"/>
        </w:rPr>
        <w:t>4.</w:t>
      </w:r>
      <w:r>
        <w:rPr>
          <w:rFonts w:ascii="Times New Roman" w:hAnsi="Times New Roman" w:eastAsia="Times New Roman" w:cs="Times New Roman"/>
          <w:spacing w:val="3"/>
        </w:rPr>
        <w:t xml:space="preserve"> </w:t>
      </w:r>
      <w:r>
        <w:rPr>
          <w:spacing w:val="16"/>
        </w:rPr>
        <w:t>课题已结题的，负责人按国家级、省(部)级、市(厅、校)级、</w:t>
      </w:r>
      <w:r>
        <w:rPr/>
        <w:t xml:space="preserve"> </w:t>
      </w:r>
      <w:r>
        <w:rPr>
          <w:spacing w:val="4"/>
        </w:rPr>
        <w:t>分别计20分、15分、10分。国家级其他一般</w:t>
      </w:r>
      <w:r>
        <w:rPr>
          <w:spacing w:val="3"/>
        </w:rPr>
        <w:t>成员依据序位分别计分为15</w:t>
      </w:r>
      <w:r>
        <w:rPr/>
        <w:t xml:space="preserve"> </w:t>
      </w:r>
      <w:r>
        <w:rPr>
          <w:spacing w:val="12"/>
        </w:rPr>
        <w:t>分、10分、8分、5分；省(部)级其他一般成员依据序位分别计</w:t>
      </w:r>
      <w:r>
        <w:rPr>
          <w:spacing w:val="11"/>
        </w:rPr>
        <w:t>分为10</w:t>
      </w:r>
      <w:r>
        <w:rPr/>
        <w:t xml:space="preserve"> </w:t>
      </w:r>
      <w:r>
        <w:rPr>
          <w:spacing w:val="4"/>
        </w:rPr>
        <w:t>分、8分、5分、3分；市(厅、校)级其他一般成员</w:t>
      </w:r>
      <w:r>
        <w:rPr>
          <w:spacing w:val="3"/>
        </w:rPr>
        <w:t>依据序位分别计分为8</w:t>
      </w:r>
      <w:r>
        <w:rPr/>
        <w:t xml:space="preserve"> </w:t>
      </w:r>
      <w:r>
        <w:rPr>
          <w:spacing w:val="-2"/>
        </w:rPr>
        <w:t>分、5分、3分、1分。课题已立项但未结题的，按已结题标准的50%计分，</w:t>
      </w:r>
      <w:r>
        <w:rPr>
          <w:spacing w:val="9"/>
        </w:rPr>
        <w:t xml:space="preserve"> </w:t>
      </w:r>
      <w:r>
        <w:rPr>
          <w:spacing w:val="9"/>
        </w:rPr>
        <w:t>且每人最多只能提交2项(已结题课题不受此限制)。</w:t>
      </w:r>
    </w:p>
    <w:p>
      <w:pPr>
        <w:pStyle w:val="BodyText"/>
        <w:ind w:right="47" w:firstLine="579"/>
        <w:spacing w:before="303" w:line="342" w:lineRule="auto"/>
        <w:tabs>
          <w:tab w:val="left" w:pos="178"/>
        </w:tabs>
        <w:rPr/>
      </w:pPr>
      <w:r>
        <w:rPr>
          <w:rFonts w:ascii="Times New Roman" w:hAnsi="Times New Roman" w:eastAsia="Times New Roman" w:cs="Times New Roman"/>
          <w:spacing w:val="8"/>
        </w:rPr>
        <w:t>5.</w:t>
      </w:r>
      <w:r>
        <w:rPr>
          <w:spacing w:val="8"/>
        </w:rPr>
        <w:t>由学校遴选升级确定为省级、国家级的(非经上级</w:t>
      </w:r>
      <w:r>
        <w:rPr>
          <w:spacing w:val="7"/>
        </w:rPr>
        <w:t>部门评选认定)</w:t>
      </w:r>
      <w:r>
        <w:rPr/>
        <w:t xml:space="preserve"> </w:t>
      </w:r>
      <w:r>
        <w:rPr>
          <w:spacing w:val="-4"/>
        </w:rPr>
        <w:t>“大创”项目，仅按最高级别标准加分，不重复计分。其中，国家级、省</w:t>
      </w:r>
      <w:r>
        <w:rPr>
          <w:spacing w:val="5"/>
        </w:rPr>
        <w:t xml:space="preserve"> </w:t>
      </w:r>
      <w:r>
        <w:rPr/>
        <w:tab/>
      </w:r>
      <w:r>
        <w:rPr>
          <w:spacing w:val="2"/>
        </w:rPr>
        <w:t>(部)级按上述标准的80%计分，其他级别计分标准不变。</w:t>
      </w:r>
    </w:p>
    <w:p>
      <w:pPr>
        <w:pStyle w:val="BodyText"/>
        <w:ind w:left="20" w:right="92" w:firstLine="559"/>
        <w:spacing w:before="273" w:line="342" w:lineRule="auto"/>
        <w:rPr/>
      </w:pPr>
      <w:r>
        <w:rPr>
          <w:rFonts w:ascii="Times New Roman" w:hAnsi="Times New Roman" w:eastAsia="Times New Roman" w:cs="Times New Roman"/>
          <w:spacing w:val="2"/>
        </w:rPr>
        <w:t>6.</w:t>
      </w:r>
      <w:r>
        <w:rPr>
          <w:spacing w:val="2"/>
        </w:rPr>
        <w:t>同一类型或同一系列的课题每人最多只能提交3项。</w:t>
      </w:r>
      <w:r>
        <w:rPr>
          <w:spacing w:val="1"/>
        </w:rPr>
        <w:t>如某学生主持</w:t>
      </w:r>
      <w:r>
        <w:rPr/>
        <w:t xml:space="preserve"> </w:t>
      </w:r>
      <w:r>
        <w:rPr>
          <w:spacing w:val="-1"/>
        </w:rPr>
        <w:t>或参加了5项“金种子”课题，则最多只能按其申报的3项或其申报的5项</w:t>
      </w:r>
      <w:r>
        <w:rPr>
          <w:spacing w:val="9"/>
        </w:rPr>
        <w:t xml:space="preserve"> </w:t>
      </w:r>
      <w:r>
        <w:rPr>
          <w:spacing w:val="-7"/>
        </w:rPr>
        <w:t>中的得分最高的3项封顶计算。</w:t>
      </w:r>
    </w:p>
    <w:p>
      <w:pPr>
        <w:pStyle w:val="BodyText"/>
        <w:ind w:left="630"/>
        <w:spacing w:before="286" w:line="223" w:lineRule="auto"/>
        <w:rPr/>
      </w:pPr>
      <w:r>
        <w:rPr>
          <w:spacing w:val="12"/>
        </w:rPr>
        <w:t>(三)竞赛类加分细则</w:t>
      </w:r>
    </w:p>
    <w:p>
      <w:pPr>
        <w:pStyle w:val="BodyText"/>
        <w:ind w:left="579"/>
        <w:spacing w:before="279" w:line="222" w:lineRule="auto"/>
        <w:rPr/>
      </w:pPr>
      <w:r>
        <w:rPr>
          <w:rFonts w:ascii="Times New Roman" w:hAnsi="Times New Roman" w:eastAsia="Times New Roman" w:cs="Times New Roman"/>
          <w:spacing w:val="-4"/>
        </w:rPr>
        <w:t>1. </w:t>
      </w:r>
      <w:r>
        <w:rPr>
          <w:spacing w:val="-4"/>
        </w:rPr>
        <w:t>竞赛活动的奖项，仅指与专业相关科</w:t>
      </w:r>
      <w:r>
        <w:rPr>
          <w:spacing w:val="-5"/>
        </w:rPr>
        <w:t>研活动奖项：</w:t>
      </w:r>
    </w:p>
    <w:p>
      <w:pPr>
        <w:pStyle w:val="BodyText"/>
        <w:ind w:left="20" w:firstLine="679"/>
        <w:spacing w:before="292" w:line="306" w:lineRule="auto"/>
        <w:rPr/>
      </w:pPr>
      <w:r>
        <w:rPr>
          <w:spacing w:val="-1"/>
        </w:rPr>
        <w:t>(1)不包括各种与专业无关的非学术性集体</w:t>
      </w:r>
      <w:r>
        <w:rPr>
          <w:spacing w:val="-2"/>
        </w:rPr>
        <w:t>活动，如：唱歌、跳舞、</w:t>
      </w:r>
      <w:r>
        <w:rPr/>
        <w:t xml:space="preserve"> </w:t>
      </w:r>
      <w:r>
        <w:rPr>
          <w:spacing w:val="-7"/>
        </w:rPr>
        <w:t>体育等集体活动。</w:t>
      </w:r>
    </w:p>
    <w:p>
      <w:pPr>
        <w:pStyle w:val="BodyText"/>
        <w:ind w:left="20" w:right="100" w:firstLine="690"/>
        <w:spacing w:before="292" w:line="319" w:lineRule="auto"/>
        <w:rPr/>
      </w:pPr>
      <w:r>
        <w:rPr>
          <w:spacing w:val="4"/>
        </w:rPr>
        <w:t>(2)奖项须是进入最新年度的《全国普通高校大学生竞赛排行榜》</w:t>
      </w:r>
      <w:r>
        <w:rPr>
          <w:spacing w:val="9"/>
        </w:rPr>
        <w:t xml:space="preserve"> </w:t>
      </w:r>
      <w:r>
        <w:rPr>
          <w:spacing w:val="-6"/>
        </w:rPr>
        <w:t>的竞赛项目，或是由市厅级及以上的党政机构或华南师范大学主办的竞赛</w:t>
      </w:r>
    </w:p>
    <w:p>
      <w:pPr>
        <w:spacing w:line="319" w:lineRule="auto"/>
        <w:sectPr>
          <w:footerReference w:type="default" r:id="rId8"/>
          <w:pgSz w:w="11560" w:h="16490"/>
          <w:pgMar w:top="1401" w:right="1219" w:bottom="1190" w:left="1420" w:header="0" w:footer="917" w:gutter="0"/>
        </w:sectPr>
        <w:rPr/>
      </w:pPr>
    </w:p>
    <w:p>
      <w:pPr>
        <w:spacing w:line="249" w:lineRule="auto"/>
        <w:rPr>
          <w:rFonts w:ascii="Arial"/>
          <w:sz w:val="21"/>
        </w:rPr>
      </w:pPr>
      <w:r/>
    </w:p>
    <w:p>
      <w:pPr>
        <w:spacing w:line="249" w:lineRule="auto"/>
        <w:rPr>
          <w:rFonts w:ascii="Arial"/>
          <w:sz w:val="21"/>
        </w:rPr>
      </w:pPr>
      <w:r/>
    </w:p>
    <w:p>
      <w:pPr>
        <w:pStyle w:val="BodyText"/>
        <w:ind w:right="342"/>
        <w:spacing w:before="91" w:line="410" w:lineRule="auto"/>
        <w:jc w:val="both"/>
        <w:rPr/>
      </w:pPr>
      <w:r>
        <w:rPr>
          <w:spacing w:val="-5"/>
        </w:rPr>
        <w:t>项目，或是本专业领域内普遍认可的高端竞赛项目。对于竞赛性质、等级</w:t>
      </w:r>
      <w:r>
        <w:rPr/>
        <w:t xml:space="preserve"> </w:t>
      </w:r>
      <w:r>
        <w:rPr>
          <w:spacing w:val="-13"/>
        </w:rPr>
        <w:t>及认可有争议的可参考《全国普通高校大学生竞</w:t>
      </w:r>
      <w:r>
        <w:rPr>
          <w:spacing w:val="-14"/>
        </w:rPr>
        <w:t>赛排行榜内竞赛项目》《华</w:t>
      </w:r>
      <w:r>
        <w:rPr/>
        <w:t xml:space="preserve"> </w:t>
      </w:r>
      <w:r>
        <w:rPr>
          <w:spacing w:val="-5"/>
        </w:rPr>
        <w:t>南师范大学全日制本科学生创新奖评选办法》中的相关规定，由学院推免</w:t>
      </w:r>
      <w:r>
        <w:rPr/>
        <w:t xml:space="preserve"> </w:t>
      </w:r>
      <w:r>
        <w:rPr>
          <w:spacing w:val="-5"/>
        </w:rPr>
        <w:t>工作领导小组根据专业影响力、举办方等级、参与人数、奖励覆盖面、社</w:t>
      </w:r>
      <w:r>
        <w:rPr/>
        <w:t xml:space="preserve"> </w:t>
      </w:r>
      <w:r>
        <w:rPr>
          <w:spacing w:val="-5"/>
        </w:rPr>
        <w:t>会认可度等因素综合考量。</w:t>
      </w:r>
    </w:p>
    <w:p>
      <w:pPr>
        <w:pStyle w:val="BodyText"/>
        <w:ind w:right="304" w:firstLine="739"/>
        <w:spacing w:before="6" w:line="314" w:lineRule="auto"/>
        <w:rPr/>
      </w:pPr>
      <w:r>
        <w:rPr>
          <w:spacing w:val="4"/>
        </w:rPr>
        <w:t>(3)各类竞赛奖励以获奖证书落款印章为准，其获奖等级以</w:t>
      </w:r>
      <w:r>
        <w:rPr>
          <w:spacing w:val="3"/>
        </w:rPr>
        <w:t>获奖证</w:t>
      </w:r>
      <w:r>
        <w:rPr/>
        <w:t xml:space="preserve"> </w:t>
      </w:r>
      <w:r>
        <w:rPr>
          <w:spacing w:val="-6"/>
        </w:rPr>
        <w:t>书盖章单位的级别认定。</w:t>
      </w:r>
    </w:p>
    <w:p>
      <w:pPr>
        <w:pStyle w:val="BodyText"/>
        <w:ind w:firstLine="739"/>
        <w:spacing w:before="278" w:line="316" w:lineRule="auto"/>
        <w:rPr/>
      </w:pPr>
      <w:r>
        <w:rPr>
          <w:spacing w:val="4"/>
        </w:rPr>
        <w:t>(4)竞赛项目没有多个奖项等级，如“十大”、“最佳”、“优秀”</w:t>
      </w:r>
      <w:r>
        <w:rPr>
          <w:spacing w:val="18"/>
        </w:rPr>
        <w:t xml:space="preserve"> </w:t>
      </w:r>
      <w:r>
        <w:rPr>
          <w:spacing w:val="-5"/>
        </w:rPr>
        <w:t>或“入围”等不予加分。</w:t>
      </w:r>
    </w:p>
    <w:p>
      <w:pPr>
        <w:pStyle w:val="BodyText"/>
        <w:ind w:right="290" w:firstLine="739"/>
        <w:spacing w:before="259" w:line="338" w:lineRule="auto"/>
        <w:rPr/>
      </w:pPr>
      <w:r>
        <w:rPr>
          <w:spacing w:val="4"/>
        </w:rPr>
        <w:t>(6)校外社会组织、杂志社、非官方认可的协会等主办的竞赛不予</w:t>
      </w:r>
      <w:r>
        <w:rPr>
          <w:spacing w:val="11"/>
        </w:rPr>
        <w:t xml:space="preserve"> </w:t>
      </w:r>
      <w:r>
        <w:rPr>
          <w:spacing w:val="-5"/>
        </w:rPr>
        <w:t>加分。外校以学校及其学院为主办、承办单位，且无更高级别单位</w:t>
      </w:r>
      <w:r>
        <w:rPr>
          <w:spacing w:val="-6"/>
        </w:rPr>
        <w:t>落款盖</w:t>
      </w:r>
      <w:r>
        <w:rPr/>
        <w:t xml:space="preserve"> </w:t>
      </w:r>
      <w:r>
        <w:rPr>
          <w:spacing w:val="-7"/>
        </w:rPr>
        <w:t>章的，不予加分。</w:t>
      </w:r>
    </w:p>
    <w:p>
      <w:pPr>
        <w:pStyle w:val="BodyText"/>
        <w:ind w:right="306" w:firstLine="739"/>
        <w:spacing w:before="299" w:line="342" w:lineRule="auto"/>
        <w:rPr/>
      </w:pPr>
      <w:r>
        <w:rPr>
          <w:spacing w:val="4"/>
        </w:rPr>
        <w:t>(7)竞赛项目以学校为参赛单位的，参加外校团队或代表</w:t>
      </w:r>
      <w:r>
        <w:rPr>
          <w:spacing w:val="3"/>
        </w:rPr>
        <w:t>外校参赛</w:t>
      </w:r>
      <w:r>
        <w:rPr/>
        <w:t xml:space="preserve"> </w:t>
      </w:r>
      <w:r>
        <w:rPr>
          <w:spacing w:val="-5"/>
        </w:rPr>
        <w:t>获奖不予加分。竞赛项目以个人自由组队或单位联合组队参赛，证书上署</w:t>
      </w:r>
      <w:r>
        <w:rPr>
          <w:spacing w:val="3"/>
        </w:rPr>
        <w:t xml:space="preserve"> </w:t>
      </w:r>
      <w:r>
        <w:rPr>
          <w:spacing w:val="8"/>
        </w:rPr>
        <w:t>明参赛个人或个人(单位)的，按排名和奖项等级计分。</w:t>
      </w:r>
    </w:p>
    <w:p>
      <w:pPr>
        <w:pStyle w:val="BodyText"/>
        <w:ind w:right="286" w:firstLine="739"/>
        <w:spacing w:before="286" w:line="366" w:lineRule="auto"/>
        <w:rPr/>
      </w:pPr>
      <w:r>
        <w:rPr/>
        <w:t>(8)关于数学建模竞赛项目的认定说明：</w:t>
      </w:r>
      <w:r>
        <w:rPr>
          <w:rFonts w:ascii="Times New Roman" w:hAnsi="Times New Roman" w:eastAsia="Times New Roman" w:cs="Times New Roman"/>
        </w:rPr>
        <w:t>A.  </w:t>
      </w:r>
      <w:r>
        <w:rPr/>
        <w:t>全国大学生数学建模竞</w:t>
      </w:r>
      <w:r>
        <w:rPr>
          <w:spacing w:val="3"/>
        </w:rPr>
        <w:t xml:space="preserve"> </w:t>
      </w:r>
      <w:r>
        <w:rPr>
          <w:spacing w:val="-4"/>
        </w:rPr>
        <w:t>赛，认定为参加全国竞赛，以证书获得的等级参考实施细则加分。</w:t>
      </w:r>
      <w:r>
        <w:rPr>
          <w:rFonts w:ascii="Times New Roman" w:hAnsi="Times New Roman" w:eastAsia="Times New Roman" w:cs="Times New Roman"/>
          <w:spacing w:val="-4"/>
        </w:rPr>
        <w:t>B.</w:t>
      </w:r>
      <w:r>
        <w:rPr>
          <w:spacing w:val="-4"/>
        </w:rPr>
        <w:t>美国</w:t>
      </w:r>
      <w:r>
        <w:rPr>
          <w:spacing w:val="9"/>
        </w:rPr>
        <w:t xml:space="preserve"> </w:t>
      </w:r>
      <w:r>
        <w:rPr>
          <w:spacing w:val="-1"/>
        </w:rPr>
        <w:t>大学生数学建模比赛</w:t>
      </w:r>
      <w:r>
        <w:rPr>
          <w:spacing w:val="-41"/>
        </w:rPr>
        <w:t xml:space="preserve"> </w:t>
      </w:r>
      <w:r>
        <w:rPr>
          <w:spacing w:val="-1"/>
        </w:rPr>
        <w:t>(</w:t>
      </w:r>
      <w:r>
        <w:rPr>
          <w:spacing w:val="-71"/>
        </w:rPr>
        <w:t xml:space="preserve"> </w:t>
      </w:r>
      <w:r>
        <w:rPr>
          <w:rFonts w:ascii="Times New Roman" w:hAnsi="Times New Roman" w:eastAsia="Times New Roman" w:cs="Times New Roman"/>
          <w:spacing w:val="-1"/>
        </w:rPr>
        <w:t>MCM/ICM), </w:t>
      </w:r>
      <w:r>
        <w:rPr>
          <w:spacing w:val="-1"/>
        </w:rPr>
        <w:t>认定为参加国际竞赛，根据《华南师</w:t>
      </w:r>
      <w:r>
        <w:rPr/>
        <w:t xml:space="preserve"> </w:t>
      </w:r>
      <w:r>
        <w:rPr>
          <w:spacing w:val="-5"/>
        </w:rPr>
        <w:t>范大学全日制本科学生创新奖评选办法》的评奖规则予以认定等级，再参</w:t>
      </w:r>
      <w:r>
        <w:rPr/>
        <w:t xml:space="preserve"> </w:t>
      </w:r>
      <w:r>
        <w:rPr>
          <w:spacing w:val="-2"/>
        </w:rPr>
        <w:t>考本实施细则加分。</w:t>
      </w:r>
      <w:r>
        <w:rPr>
          <w:rFonts w:ascii="Times New Roman" w:hAnsi="Times New Roman" w:eastAsia="Times New Roman" w:cs="Times New Roman"/>
          <w:spacing w:val="-2"/>
        </w:rPr>
        <w:t>C.</w:t>
      </w:r>
      <w:r>
        <w:rPr>
          <w:spacing w:val="-2"/>
        </w:rPr>
        <w:t>其他非官方数学建模竞赛不予认定。</w:t>
      </w:r>
    </w:p>
    <w:p>
      <w:pPr>
        <w:spacing w:line="366" w:lineRule="auto"/>
        <w:sectPr>
          <w:footerReference w:type="default" r:id="rId9"/>
          <w:pgSz w:w="11560" w:h="16490"/>
          <w:pgMar w:top="1401" w:right="1036" w:bottom="1256" w:left="1380" w:header="0" w:footer="944" w:gutter="0"/>
        </w:sectPr>
        <w:rPr/>
      </w:pPr>
    </w:p>
    <w:p>
      <w:pPr>
        <w:spacing w:line="246" w:lineRule="auto"/>
        <w:rPr>
          <w:rFonts w:ascii="Arial"/>
          <w:sz w:val="21"/>
        </w:rPr>
      </w:pPr>
      <w:r/>
    </w:p>
    <w:p>
      <w:pPr>
        <w:spacing w:line="247" w:lineRule="auto"/>
        <w:rPr>
          <w:rFonts w:ascii="Arial"/>
          <w:sz w:val="21"/>
        </w:rPr>
      </w:pPr>
      <w:r/>
    </w:p>
    <w:p>
      <w:pPr>
        <w:pStyle w:val="BodyText"/>
        <w:ind w:left="620"/>
        <w:spacing w:before="91" w:line="222" w:lineRule="auto"/>
        <w:rPr/>
      </w:pPr>
      <w:r>
        <w:rPr>
          <w:rFonts w:ascii="Times New Roman" w:hAnsi="Times New Roman" w:eastAsia="Times New Roman" w:cs="Times New Roman"/>
          <w:spacing w:val="-4"/>
        </w:rPr>
        <w:t>2.   </w:t>
      </w:r>
      <w:r>
        <w:rPr>
          <w:spacing w:val="-4"/>
        </w:rPr>
        <w:t>竞赛加分计分规则：</w:t>
      </w:r>
    </w:p>
    <w:p>
      <w:pPr>
        <w:pStyle w:val="BodyText"/>
        <w:ind w:left="20" w:right="82" w:firstLine="740"/>
        <w:spacing w:before="283" w:line="342" w:lineRule="auto"/>
        <w:rPr>
          <w:sz w:val="29"/>
          <w:szCs w:val="29"/>
        </w:rPr>
      </w:pPr>
      <w:r>
        <w:rPr>
          <w:spacing w:val="3"/>
        </w:rPr>
        <w:t>(1)参加国际竞赛，最高级奖项、第二等级奖项、第三等级奖</w:t>
      </w:r>
      <w:r>
        <w:rPr>
          <w:spacing w:val="2"/>
        </w:rPr>
        <w:t>项、</w:t>
      </w:r>
      <w:r>
        <w:rPr/>
        <w:t xml:space="preserve"> </w:t>
      </w:r>
      <w:r>
        <w:rPr>
          <w:sz w:val="29"/>
          <w:szCs w:val="29"/>
          <w:spacing w:val="-5"/>
        </w:rPr>
        <w:t>第四等级奖项、第五等级奖项者，</w:t>
      </w:r>
      <w:r>
        <w:rPr>
          <w:rFonts w:ascii="KaiTi" w:hAnsi="KaiTi" w:eastAsia="KaiTi" w:cs="KaiTi"/>
          <w:sz w:val="29"/>
          <w:szCs w:val="29"/>
          <w:spacing w:val="-5"/>
        </w:rPr>
        <w:t>分别计30分、25分、20分，</w:t>
      </w:r>
      <w:r>
        <w:rPr>
          <w:rFonts w:ascii="KaiTi" w:hAnsi="KaiTi" w:eastAsia="KaiTi" w:cs="KaiTi"/>
          <w:sz w:val="29"/>
          <w:szCs w:val="29"/>
          <w:spacing w:val="-6"/>
        </w:rPr>
        <w:t>17分、14</w:t>
      </w:r>
      <w:r>
        <w:rPr>
          <w:rFonts w:ascii="KaiTi" w:hAnsi="KaiTi" w:eastAsia="KaiTi" w:cs="KaiTi"/>
          <w:sz w:val="29"/>
          <w:szCs w:val="29"/>
        </w:rPr>
        <w:t xml:space="preserve"> </w:t>
      </w:r>
      <w:r>
        <w:rPr>
          <w:sz w:val="29"/>
          <w:szCs w:val="29"/>
          <w:spacing w:val="-12"/>
        </w:rPr>
        <w:t>分。</w:t>
      </w:r>
    </w:p>
    <w:p>
      <w:pPr>
        <w:pStyle w:val="BodyText"/>
        <w:ind w:left="20" w:firstLine="740"/>
        <w:spacing w:before="284" w:line="316" w:lineRule="auto"/>
        <w:rPr/>
      </w:pPr>
      <w:r>
        <w:rPr>
          <w:spacing w:val="3"/>
        </w:rPr>
        <w:t>(2)参加全国竞赛，最高级奖项、第二等级奖项、第三等级奖</w:t>
      </w:r>
      <w:r>
        <w:rPr>
          <w:spacing w:val="2"/>
        </w:rPr>
        <w:t>项、</w:t>
      </w:r>
      <w:r>
        <w:rPr/>
        <w:t xml:space="preserve"> </w:t>
      </w:r>
      <w:r>
        <w:rPr>
          <w:spacing w:val="-2"/>
        </w:rPr>
        <w:t>第四等级奖项、第五等级奖项者，分别计20分、16分、12分、9分、6分。</w:t>
      </w:r>
    </w:p>
    <w:p>
      <w:pPr>
        <w:pStyle w:val="BodyText"/>
        <w:ind w:left="20" w:right="82" w:firstLine="740"/>
        <w:spacing w:before="284" w:line="304" w:lineRule="auto"/>
        <w:rPr>
          <w:sz w:val="29"/>
          <w:szCs w:val="29"/>
        </w:rPr>
      </w:pPr>
      <w:r>
        <w:rPr>
          <w:spacing w:val="3"/>
        </w:rPr>
        <w:t>(3)参加省级竞赛，最高级奖项、第二等级奖项、第三等级奖</w:t>
      </w:r>
      <w:r>
        <w:rPr>
          <w:spacing w:val="2"/>
        </w:rPr>
        <w:t>项、</w:t>
      </w:r>
      <w:r>
        <w:rPr/>
        <w:t xml:space="preserve"> </w:t>
      </w:r>
      <w:r>
        <w:rPr>
          <w:sz w:val="29"/>
          <w:szCs w:val="29"/>
          <w:spacing w:val="-11"/>
        </w:rPr>
        <w:t>第四等级奖项、第五等级奖项者，分别计15分、12分、8分、5分、3分。</w:t>
      </w:r>
    </w:p>
    <w:p>
      <w:pPr>
        <w:pStyle w:val="BodyText"/>
        <w:ind w:left="20" w:right="82" w:firstLine="740"/>
        <w:spacing w:before="271" w:line="312" w:lineRule="auto"/>
        <w:rPr/>
      </w:pPr>
      <w:r>
        <w:rPr>
          <w:spacing w:val="3"/>
        </w:rPr>
        <w:t>(4)参加市级竞赛，最高级奖项、第二等级奖项、第三等级奖</w:t>
      </w:r>
      <w:r>
        <w:rPr>
          <w:spacing w:val="2"/>
        </w:rPr>
        <w:t>项、</w:t>
      </w:r>
      <w:r>
        <w:rPr/>
        <w:t xml:space="preserve"> </w:t>
      </w:r>
      <w:r>
        <w:rPr>
          <w:spacing w:val="-3"/>
        </w:rPr>
        <w:t>第四等级奖项者，分别计10分、7分、5分、3分。</w:t>
      </w:r>
    </w:p>
    <w:p>
      <w:pPr>
        <w:pStyle w:val="BodyText"/>
        <w:ind w:left="20" w:right="82" w:firstLine="740"/>
        <w:spacing w:before="271" w:line="308" w:lineRule="auto"/>
        <w:rPr>
          <w:sz w:val="29"/>
          <w:szCs w:val="29"/>
        </w:rPr>
      </w:pPr>
      <w:r>
        <w:rPr>
          <w:spacing w:val="3"/>
        </w:rPr>
        <w:t>(5)参加校级竞赛，最高级奖项、第二等级奖项、第三等级奖</w:t>
      </w:r>
      <w:r>
        <w:rPr>
          <w:spacing w:val="2"/>
        </w:rPr>
        <w:t>项、</w:t>
      </w:r>
      <w:r>
        <w:rPr/>
        <w:t xml:space="preserve"> </w:t>
      </w:r>
      <w:r>
        <w:rPr>
          <w:sz w:val="29"/>
          <w:szCs w:val="29"/>
          <w:spacing w:val="-11"/>
        </w:rPr>
        <w:t>第四等级奖项者，分别计5分、4分、3分、2分。</w:t>
      </w:r>
    </w:p>
    <w:p>
      <w:pPr>
        <w:pStyle w:val="BodyText"/>
        <w:ind w:right="81" w:firstLine="730"/>
        <w:spacing w:before="277" w:line="347" w:lineRule="auto"/>
        <w:rPr/>
      </w:pPr>
      <w:r>
        <w:rPr>
          <w:spacing w:val="12"/>
        </w:rPr>
        <w:t>(6)“挑战杯”大学生课外学术科技作品竞赛(不含专项活动)、</w:t>
      </w:r>
      <w:r>
        <w:rPr>
          <w:spacing w:val="18"/>
        </w:rPr>
        <w:t xml:space="preserve"> </w:t>
      </w:r>
      <w:r>
        <w:rPr/>
        <w:t>“挑战杯”大学生创业计划竞赛、“互联网+”大学生创新创业大赛的比</w:t>
      </w:r>
      <w:r>
        <w:rPr>
          <w:spacing w:val="9"/>
        </w:rPr>
        <w:t xml:space="preserve"> </w:t>
      </w:r>
      <w:r>
        <w:rPr>
          <w:spacing w:val="3"/>
        </w:rPr>
        <w:t>赛成果按上述相应级别计分标准乘以1.5</w:t>
      </w:r>
      <w:r>
        <w:rPr>
          <w:spacing w:val="3"/>
        </w:rPr>
        <w:t xml:space="preserve"> </w:t>
      </w:r>
      <w:r>
        <w:rPr>
          <w:spacing w:val="3"/>
        </w:rPr>
        <w:t>系数计分。</w:t>
      </w:r>
    </w:p>
    <w:p>
      <w:pPr>
        <w:pStyle w:val="BodyText"/>
        <w:ind w:left="20" w:right="12" w:firstLine="690"/>
        <w:spacing w:before="265" w:line="314" w:lineRule="auto"/>
        <w:rPr/>
      </w:pPr>
      <w:r>
        <w:rPr>
          <w:spacing w:val="13"/>
        </w:rPr>
        <w:t>(7)上述竞赛项目，以2人以上为小组参赛的项目：(1)不区分主</w:t>
      </w:r>
      <w:r>
        <w:rPr>
          <w:spacing w:val="10"/>
        </w:rPr>
        <w:t xml:space="preserve"> </w:t>
      </w:r>
      <w:r>
        <w:rPr>
          <w:spacing w:val="-3"/>
        </w:rPr>
        <w:t>持人、负责人或成员排序的，根据参与人数量按上述标准平均分配计分。</w:t>
      </w:r>
    </w:p>
    <w:p>
      <w:pPr>
        <w:pStyle w:val="BodyText"/>
        <w:ind w:right="27" w:firstLine="150"/>
        <w:spacing w:before="288" w:line="342" w:lineRule="auto"/>
        <w:rPr/>
      </w:pPr>
      <w:r>
        <w:rPr>
          <w:spacing w:val="-1"/>
        </w:rPr>
        <w:t>(2)有区分主持人、负责人或成员排序的，参与人等于或多于4人的，第</w:t>
      </w:r>
      <w:r>
        <w:rPr>
          <w:spacing w:val="11"/>
        </w:rPr>
        <w:t xml:space="preserve"> </w:t>
      </w:r>
      <w:r>
        <w:rPr>
          <w:spacing w:val="-4"/>
        </w:rPr>
        <w:t>一参与人、第二参与人、第三参与人、第四参与人按上述标准的50%,20%,</w:t>
      </w:r>
      <w:r>
        <w:rPr>
          <w:spacing w:val="7"/>
        </w:rPr>
        <w:t xml:space="preserve"> </w:t>
      </w:r>
      <w:r>
        <w:rPr>
          <w:spacing w:val="-2"/>
        </w:rPr>
        <w:t>15%,15%计分，第五参与人及以后不计分；参与人为3人的，第</w:t>
      </w:r>
      <w:r>
        <w:rPr>
          <w:spacing w:val="-3"/>
        </w:rPr>
        <w:t>一参与人、</w:t>
      </w:r>
    </w:p>
    <w:p>
      <w:pPr>
        <w:spacing w:line="342" w:lineRule="auto"/>
        <w:sectPr>
          <w:footerReference w:type="default" r:id="rId10"/>
          <w:pgSz w:w="11560" w:h="16490"/>
          <w:pgMar w:top="1401" w:right="1237" w:bottom="1179" w:left="1409" w:header="0" w:footer="893" w:gutter="0"/>
        </w:sectPr>
        <w:rPr/>
      </w:pPr>
    </w:p>
    <w:p>
      <w:pPr>
        <w:spacing w:line="247" w:lineRule="auto"/>
        <w:rPr>
          <w:rFonts w:ascii="Arial"/>
          <w:sz w:val="21"/>
        </w:rPr>
      </w:pPr>
      <w:r/>
    </w:p>
    <w:p>
      <w:pPr>
        <w:spacing w:line="247" w:lineRule="auto"/>
        <w:rPr>
          <w:rFonts w:ascii="Arial"/>
          <w:sz w:val="21"/>
        </w:rPr>
      </w:pPr>
      <w:r/>
    </w:p>
    <w:p>
      <w:pPr>
        <w:pStyle w:val="BodyText"/>
        <w:ind w:left="59" w:right="42"/>
        <w:spacing w:before="91" w:line="416" w:lineRule="auto"/>
        <w:rPr/>
      </w:pPr>
      <w:r>
        <w:rPr>
          <w:spacing w:val="4"/>
        </w:rPr>
        <w:t>第二参与人、第三参与人按上述标准的60</w:t>
      </w:r>
      <w:r>
        <w:rPr>
          <w:spacing w:val="3"/>
        </w:rPr>
        <w:t>%、25%、15%计分；参与人为2</w:t>
      </w:r>
      <w:r>
        <w:rPr/>
        <w:t xml:space="preserve"> </w:t>
      </w:r>
      <w:r>
        <w:rPr>
          <w:spacing w:val="-2"/>
        </w:rPr>
        <w:t>人的，第一参与人、第二参与人按上述标准的70%、30%计分。</w:t>
      </w:r>
    </w:p>
    <w:p>
      <w:pPr>
        <w:pStyle w:val="BodyText"/>
        <w:ind w:left="59" w:firstLine="750"/>
        <w:spacing w:before="6" w:line="366" w:lineRule="auto"/>
        <w:rPr/>
      </w:pPr>
      <w:r>
        <w:rPr>
          <w:spacing w:val="4"/>
        </w:rPr>
        <w:t>(8)同一成果、同一作品或同一项目在多次竞赛活动或是在同一活</w:t>
      </w:r>
      <w:r>
        <w:rPr/>
        <w:t xml:space="preserve"> </w:t>
      </w:r>
      <w:r>
        <w:rPr>
          <w:spacing w:val="-6"/>
        </w:rPr>
        <w:t>动单位中获奖，只按获奖最高档次计分一次，不重复计分；不同成果、不</w:t>
      </w:r>
      <w:r>
        <w:rPr>
          <w:spacing w:val="15"/>
        </w:rPr>
        <w:t xml:space="preserve"> </w:t>
      </w:r>
      <w:r>
        <w:rPr>
          <w:spacing w:val="-2"/>
        </w:rPr>
        <w:t>同作品或不同项目，在同一次竞赛活动或是在同一活动单位中获奖(设置</w:t>
      </w:r>
      <w:r>
        <w:rPr>
          <w:spacing w:val="11"/>
        </w:rPr>
        <w:t xml:space="preserve"> </w:t>
      </w:r>
      <w:r>
        <w:rPr>
          <w:spacing w:val="-5"/>
        </w:rPr>
        <w:t>多赛道的，具体以赛道为区分标准；设置单一赛道或</w:t>
      </w:r>
      <w:r>
        <w:rPr>
          <w:spacing w:val="-6"/>
        </w:rPr>
        <w:t>不设赛道的，具体以</w:t>
      </w:r>
      <w:r>
        <w:rPr/>
        <w:t xml:space="preserve"> </w:t>
      </w:r>
      <w:r>
        <w:rPr>
          <w:spacing w:val="10"/>
        </w:rPr>
        <w:t>整个活动为区分标准),只计算最高奖项加</w:t>
      </w:r>
      <w:r>
        <w:rPr>
          <w:spacing w:val="9"/>
        </w:rPr>
        <w:t>分。</w:t>
      </w:r>
    </w:p>
    <w:p>
      <w:pPr>
        <w:pStyle w:val="BodyText"/>
        <w:ind w:left="59" w:firstLine="740"/>
        <w:spacing w:before="294" w:line="309" w:lineRule="auto"/>
        <w:rPr/>
      </w:pPr>
      <w:r>
        <w:rPr>
          <w:spacing w:val="9"/>
        </w:rPr>
        <w:t>(9)省级以下(不含省级)竞赛获奖项目每人</w:t>
      </w:r>
      <w:r>
        <w:rPr>
          <w:spacing w:val="8"/>
        </w:rPr>
        <w:t>最多只能提交3项，且</w:t>
      </w:r>
      <w:r>
        <w:rPr/>
        <w:t xml:space="preserve"> </w:t>
      </w:r>
      <w:r>
        <w:rPr>
          <w:spacing w:val="-3"/>
        </w:rPr>
        <w:t>经学院学术分委员会讨论通过方可加分。</w:t>
      </w:r>
    </w:p>
    <w:p>
      <w:pPr>
        <w:pStyle w:val="BodyText"/>
        <w:ind w:left="680"/>
        <w:spacing w:before="263" w:line="222" w:lineRule="auto"/>
        <w:rPr/>
      </w:pPr>
      <w:r>
        <w:rPr>
          <w:spacing w:val="13"/>
        </w:rPr>
        <w:t>(四)专利类加分细则</w:t>
      </w:r>
    </w:p>
    <w:p>
      <w:pPr>
        <w:pStyle w:val="BodyText"/>
        <w:ind w:left="59" w:right="24" w:firstLine="590"/>
        <w:spacing w:before="278" w:line="308" w:lineRule="auto"/>
        <w:rPr/>
      </w:pPr>
      <w:r>
        <w:rPr>
          <w:rFonts w:ascii="Times New Roman" w:hAnsi="Times New Roman" w:eastAsia="Times New Roman" w:cs="Times New Roman"/>
          <w:spacing w:val="-6"/>
        </w:rPr>
        <w:t>1.</w:t>
      </w:r>
      <w:r>
        <w:rPr>
          <w:rFonts w:ascii="Times New Roman" w:hAnsi="Times New Roman" w:eastAsia="Times New Roman" w:cs="Times New Roman"/>
          <w:spacing w:val="39"/>
        </w:rPr>
        <w:t xml:space="preserve"> </w:t>
      </w:r>
      <w:r>
        <w:rPr>
          <w:spacing w:val="-6"/>
        </w:rPr>
        <w:t>获得国家发明专利：第一作者加20分，第二15分，第三10分，第四</w:t>
      </w:r>
      <w:r>
        <w:rPr/>
        <w:t xml:space="preserve"> </w:t>
      </w:r>
      <w:r>
        <w:rPr>
          <w:spacing w:val="-8"/>
        </w:rPr>
        <w:t>以后5分。</w:t>
      </w:r>
    </w:p>
    <w:p>
      <w:pPr>
        <w:pStyle w:val="BodyText"/>
        <w:ind w:left="59" w:right="27" w:firstLine="550"/>
        <w:spacing w:before="296" w:line="308" w:lineRule="auto"/>
        <w:rPr/>
      </w:pPr>
      <w:r>
        <w:rPr>
          <w:rFonts w:ascii="Times New Roman" w:hAnsi="Times New Roman" w:eastAsia="Times New Roman" w:cs="Times New Roman"/>
        </w:rPr>
        <w:t>2. </w:t>
      </w:r>
      <w:r>
        <w:rPr/>
        <w:t>获得实用新型专利：第一作者加8分，第二4分，第三2分，第四以</w:t>
      </w:r>
      <w:r>
        <w:rPr>
          <w:spacing w:val="11"/>
        </w:rPr>
        <w:t xml:space="preserve"> </w:t>
      </w:r>
      <w:r>
        <w:rPr>
          <w:spacing w:val="-6"/>
        </w:rPr>
        <w:t>后1分。</w:t>
      </w:r>
    </w:p>
    <w:p>
      <w:pPr>
        <w:pStyle w:val="BodyText"/>
        <w:ind w:left="59" w:right="42" w:firstLine="550"/>
        <w:spacing w:before="316" w:line="313" w:lineRule="auto"/>
        <w:rPr/>
      </w:pPr>
      <w:r>
        <w:rPr>
          <w:rFonts w:ascii="Times New Roman" w:hAnsi="Times New Roman" w:eastAsia="Times New Roman" w:cs="Times New Roman"/>
          <w:spacing w:val="4"/>
        </w:rPr>
        <w:t>3.</w:t>
      </w:r>
      <w:r>
        <w:rPr>
          <w:rFonts w:ascii="Times New Roman" w:hAnsi="Times New Roman" w:eastAsia="Times New Roman" w:cs="Times New Roman"/>
          <w:spacing w:val="22"/>
        </w:rPr>
        <w:t xml:space="preserve"> </w:t>
      </w:r>
      <w:r>
        <w:rPr>
          <w:spacing w:val="4"/>
        </w:rPr>
        <w:t>获得外观设计专利或软件著作权证书：</w:t>
      </w:r>
      <w:r>
        <w:rPr>
          <w:spacing w:val="3"/>
        </w:rPr>
        <w:t>第一作者加1分，第二0.5</w:t>
      </w:r>
      <w:r>
        <w:rPr/>
        <w:t xml:space="preserve"> </w:t>
      </w:r>
      <w:r>
        <w:rPr>
          <w:spacing w:val="9"/>
        </w:rPr>
        <w:t>分，第三以后不加分，本项加分最多不能超过3个。</w:t>
      </w:r>
    </w:p>
    <w:p>
      <w:pPr>
        <w:pStyle w:val="BodyText"/>
        <w:ind w:left="640"/>
        <w:spacing w:before="273" w:line="222" w:lineRule="auto"/>
        <w:rPr>
          <w:sz w:val="27"/>
          <w:szCs w:val="27"/>
        </w:rPr>
      </w:pPr>
      <w:r>
        <w:rPr>
          <w:sz w:val="27"/>
          <w:szCs w:val="27"/>
          <w:spacing w:val="22"/>
        </w:rPr>
        <w:t>(五)其他类加分细则</w:t>
      </w:r>
    </w:p>
    <w:p>
      <w:pPr>
        <w:pStyle w:val="BodyText"/>
        <w:ind w:left="30" w:right="73" w:firstLine="479"/>
        <w:spacing w:before="271" w:line="402" w:lineRule="auto"/>
        <w:rPr/>
      </w:pPr>
      <w:r>
        <w:rPr>
          <w:spacing w:val="-3"/>
        </w:rPr>
        <w:t>其他类奖励加分由学校在当年推免工作通知中规定，未作规定的不得</w:t>
      </w:r>
      <w:r>
        <w:rPr>
          <w:spacing w:val="16"/>
        </w:rPr>
        <w:t xml:space="preserve"> </w:t>
      </w:r>
      <w:r>
        <w:rPr>
          <w:spacing w:val="-5"/>
        </w:rPr>
        <w:t>加分。</w:t>
      </w:r>
    </w:p>
    <w:p>
      <w:pPr>
        <w:pStyle w:val="BodyText"/>
        <w:ind w:left="570"/>
        <w:spacing w:before="8" w:line="222" w:lineRule="auto"/>
        <w:rPr>
          <w:sz w:val="29"/>
          <w:szCs w:val="29"/>
        </w:rPr>
      </w:pPr>
      <w:r>
        <w:rPr>
          <w:sz w:val="29"/>
          <w:szCs w:val="29"/>
          <w:spacing w:val="-6"/>
        </w:rPr>
        <w:t>八、遴选程序</w:t>
      </w:r>
    </w:p>
    <w:p>
      <w:pPr>
        <w:spacing w:line="222" w:lineRule="auto"/>
        <w:sectPr>
          <w:footerReference w:type="default" r:id="rId11"/>
          <w:pgSz w:w="11560" w:h="16490"/>
          <w:pgMar w:top="1401" w:right="1279" w:bottom="1276" w:left="1369" w:header="0" w:footer="964" w:gutter="0"/>
        </w:sectPr>
        <w:rPr>
          <w:sz w:val="29"/>
          <w:szCs w:val="29"/>
        </w:rPr>
      </w:pPr>
    </w:p>
    <w:p>
      <w:pPr>
        <w:spacing w:line="254" w:lineRule="auto"/>
        <w:rPr>
          <w:rFonts w:ascii="Arial"/>
          <w:sz w:val="21"/>
        </w:rPr>
      </w:pPr>
      <w:r/>
    </w:p>
    <w:p>
      <w:pPr>
        <w:spacing w:line="254" w:lineRule="auto"/>
        <w:rPr>
          <w:rFonts w:ascii="Arial"/>
          <w:sz w:val="21"/>
        </w:rPr>
      </w:pPr>
      <w:r/>
    </w:p>
    <w:p>
      <w:pPr>
        <w:pStyle w:val="BodyText"/>
        <w:ind w:firstLine="610"/>
        <w:spacing w:before="91" w:line="407" w:lineRule="auto"/>
        <w:jc w:val="both"/>
        <w:rPr/>
      </w:pPr>
      <w:r>
        <w:rPr>
          <w:spacing w:val="1"/>
        </w:rPr>
        <w:t>宣传发动(公布、解读推免政策文件)→组织报名→</w:t>
      </w:r>
      <w:r>
        <w:rPr>
          <w:spacing w:val="-93"/>
        </w:rPr>
        <w:t xml:space="preserve"> </w:t>
      </w:r>
      <w:r>
        <w:rPr>
          <w:spacing w:val="1"/>
        </w:rPr>
        <w:t>审核材料(形式、</w:t>
      </w:r>
      <w:r>
        <w:rPr/>
        <w:t xml:space="preserve"> </w:t>
      </w:r>
      <w:r>
        <w:rPr>
          <w:spacing w:val="-1"/>
        </w:rPr>
        <w:t>资格审核)确定入围初选名单→学院考核→计分排名→学院学术分委</w:t>
      </w:r>
      <w:r>
        <w:rPr>
          <w:spacing w:val="-2"/>
        </w:rPr>
        <w:t>员会</w:t>
      </w:r>
      <w:r>
        <w:rPr/>
        <w:t xml:space="preserve">  </w:t>
      </w:r>
      <w:r>
        <w:rPr>
          <w:spacing w:val="-4"/>
        </w:rPr>
        <w:t>审议→学院推免工作小组确定拟推名单→</w:t>
      </w:r>
      <w:r>
        <w:rPr>
          <w:spacing w:val="-106"/>
        </w:rPr>
        <w:t xml:space="preserve"> </w:t>
      </w:r>
      <w:r>
        <w:rPr>
          <w:spacing w:val="-4"/>
        </w:rPr>
        <w:t>院内公示→</w:t>
      </w:r>
      <w:r>
        <w:rPr>
          <w:spacing w:val="-5"/>
        </w:rPr>
        <w:t>推名单报学校。</w:t>
      </w:r>
    </w:p>
    <w:p>
      <w:pPr>
        <w:pStyle w:val="BodyText"/>
        <w:ind w:left="610"/>
        <w:spacing w:line="220" w:lineRule="auto"/>
        <w:rPr/>
      </w:pPr>
      <w:r>
        <w:rPr>
          <w:spacing w:val="-11"/>
        </w:rPr>
        <w:t>补充操作说明：</w:t>
      </w:r>
    </w:p>
    <w:p>
      <w:pPr>
        <w:pStyle w:val="BodyText"/>
        <w:ind w:right="39" w:firstLine="720"/>
        <w:spacing w:before="296" w:line="341" w:lineRule="auto"/>
        <w:rPr/>
      </w:pPr>
      <w:r>
        <w:rPr>
          <w:spacing w:val="-7"/>
        </w:rPr>
        <w:t>(一)制定、公布实施细则。学院制定推免工作实施细则或遴选方案，</w:t>
      </w:r>
      <w:r>
        <w:rPr>
          <w:spacing w:val="5"/>
        </w:rPr>
        <w:t xml:space="preserve"> </w:t>
      </w:r>
      <w:r>
        <w:rPr>
          <w:spacing w:val="-2"/>
        </w:rPr>
        <w:t>经学院学术分委员会审议、学院推免工作小组审定后，报本科生院备案，</w:t>
      </w:r>
      <w:r>
        <w:rPr>
          <w:spacing w:val="12"/>
        </w:rPr>
        <w:t xml:space="preserve"> </w:t>
      </w:r>
      <w:r>
        <w:rPr>
          <w:spacing w:val="-4"/>
        </w:rPr>
        <w:t>并在组织学生申请推免前向学生公布。</w:t>
      </w:r>
    </w:p>
    <w:p>
      <w:pPr>
        <w:pStyle w:val="BodyText"/>
        <w:ind w:left="720"/>
        <w:spacing w:before="308" w:line="220" w:lineRule="auto"/>
        <w:rPr>
          <w:sz w:val="26"/>
          <w:szCs w:val="26"/>
        </w:rPr>
      </w:pPr>
      <w:r>
        <w:rPr>
          <w:sz w:val="26"/>
          <w:szCs w:val="26"/>
          <w:spacing w:val="22"/>
        </w:rPr>
        <w:t>(二)组织报名。组织学生自愿报名申请。</w:t>
      </w:r>
    </w:p>
    <w:p>
      <w:pPr>
        <w:pStyle w:val="BodyText"/>
        <w:ind w:right="138" w:firstLine="720"/>
        <w:spacing w:before="298" w:line="352" w:lineRule="auto"/>
        <w:rPr/>
      </w:pPr>
      <w:r>
        <w:rPr>
          <w:spacing w:val="-1"/>
        </w:rPr>
        <w:t>(三)材料审核。成立材料审核和计分工作小组，学院党总支书记任</w:t>
      </w:r>
      <w:r>
        <w:rPr/>
        <w:t xml:space="preserve"> </w:t>
      </w:r>
      <w:r>
        <w:rPr>
          <w:spacing w:val="-5"/>
        </w:rPr>
        <w:t>组长，学院教学秘书、辅导员和教务员为小组成员，组成工作小组，进行</w:t>
      </w:r>
      <w:r>
        <w:rPr>
          <w:spacing w:val="8"/>
        </w:rPr>
        <w:t xml:space="preserve"> </w:t>
      </w:r>
      <w:r>
        <w:rPr>
          <w:spacing w:val="-5"/>
        </w:rPr>
        <w:t>集体审核材料和基础计分。材料审核和计分工</w:t>
      </w:r>
      <w:r>
        <w:rPr>
          <w:spacing w:val="-6"/>
        </w:rPr>
        <w:t>作小组对学生的申请材料进</w:t>
      </w:r>
      <w:r>
        <w:rPr/>
        <w:t xml:space="preserve"> </w:t>
      </w:r>
      <w:r>
        <w:rPr>
          <w:spacing w:val="-2"/>
        </w:rPr>
        <w:t>行审核、鉴定、计算分数。审核、鉴定时须排除造假等</w:t>
      </w:r>
      <w:r>
        <w:rPr>
          <w:spacing w:val="-3"/>
        </w:rPr>
        <w:t>情况。</w:t>
      </w:r>
    </w:p>
    <w:p>
      <w:pPr>
        <w:pStyle w:val="BodyText"/>
        <w:ind w:right="139" w:firstLine="720"/>
        <w:spacing w:before="327" w:line="367" w:lineRule="auto"/>
        <w:rPr/>
      </w:pPr>
      <w:r>
        <w:rPr>
          <w:spacing w:val="-1"/>
        </w:rPr>
        <w:t>(四)学院审议并遴选。对当年申报的所有学生加分项目匿</w:t>
      </w:r>
      <w:r>
        <w:rPr>
          <w:spacing w:val="-2"/>
        </w:rPr>
        <w:t>名进行汇</w:t>
      </w:r>
      <w:r>
        <w:rPr/>
        <w:t xml:space="preserve"> </w:t>
      </w:r>
      <w:r>
        <w:rPr>
          <w:spacing w:val="-5"/>
        </w:rPr>
        <w:t>总，学院学术分委员会和推免工作小组根据本细则对具体项目类型、级别</w:t>
      </w:r>
      <w:r>
        <w:rPr>
          <w:spacing w:val="4"/>
        </w:rPr>
        <w:t xml:space="preserve"> </w:t>
      </w:r>
      <w:r>
        <w:rPr>
          <w:spacing w:val="-5"/>
        </w:rPr>
        <w:t>和加分值进行审核并公示。经公示无异议后计算所有学生的分数并进行综</w:t>
      </w:r>
      <w:r>
        <w:rPr>
          <w:spacing w:val="4"/>
        </w:rPr>
        <w:t xml:space="preserve"> </w:t>
      </w:r>
      <w:r>
        <w:rPr>
          <w:spacing w:val="-1"/>
        </w:rPr>
        <w:t>合排名，学院学术分委员会评议，学院推免工作小组确定拟推荐名单(含</w:t>
      </w:r>
      <w:r>
        <w:rPr>
          <w:spacing w:val="4"/>
        </w:rPr>
        <w:t xml:space="preserve"> </w:t>
      </w:r>
      <w:r>
        <w:rPr>
          <w:spacing w:val="4"/>
        </w:rPr>
        <w:t>候补),学院党总支审批，学院内公示无异议或异议经学院复议后报本科</w:t>
      </w:r>
      <w:r>
        <w:rPr>
          <w:spacing w:val="1"/>
        </w:rPr>
        <w:t xml:space="preserve"> </w:t>
      </w:r>
      <w:r>
        <w:rPr>
          <w:spacing w:val="-12"/>
        </w:rPr>
        <w:t>生院。</w:t>
      </w:r>
    </w:p>
    <w:p>
      <w:pPr>
        <w:pStyle w:val="BodyText"/>
        <w:ind w:left="550"/>
        <w:spacing w:before="291" w:line="222" w:lineRule="auto"/>
        <w:rPr>
          <w:sz w:val="29"/>
          <w:szCs w:val="29"/>
        </w:rPr>
      </w:pPr>
      <w:r>
        <w:rPr>
          <w:sz w:val="29"/>
          <w:szCs w:val="29"/>
          <w:spacing w:val="-10"/>
        </w:rPr>
        <w:t>九、其他</w:t>
      </w:r>
    </w:p>
    <w:p>
      <w:pPr>
        <w:pStyle w:val="BodyText"/>
        <w:ind w:left="670"/>
        <w:spacing w:before="323" w:line="222" w:lineRule="auto"/>
        <w:rPr/>
      </w:pPr>
      <w:r>
        <w:rPr>
          <w:spacing w:val="12"/>
        </w:rPr>
        <w:t>(一)加分项目有效时间为入学后至2026年8月31日止。即：加分</w:t>
      </w:r>
    </w:p>
    <w:p>
      <w:pPr>
        <w:spacing w:line="222" w:lineRule="auto"/>
        <w:sectPr>
          <w:footerReference w:type="default" r:id="rId12"/>
          <w:pgSz w:w="11560" w:h="16490"/>
          <w:pgMar w:top="1401" w:right="1200" w:bottom="1167" w:left="1409" w:header="0" w:footer="933" w:gutter="0"/>
        </w:sectPr>
        <w:rPr/>
      </w:pPr>
    </w:p>
    <w:p>
      <w:pPr>
        <w:spacing w:line="273" w:lineRule="auto"/>
        <w:rPr>
          <w:rFonts w:ascii="Arial"/>
          <w:sz w:val="21"/>
        </w:rPr>
      </w:pPr>
      <w:r/>
    </w:p>
    <w:p>
      <w:pPr>
        <w:spacing w:line="274" w:lineRule="auto"/>
        <w:rPr>
          <w:rFonts w:ascii="Arial"/>
          <w:sz w:val="21"/>
        </w:rPr>
      </w:pPr>
      <w:r/>
    </w:p>
    <w:p>
      <w:pPr>
        <w:pStyle w:val="BodyText"/>
        <w:ind w:right="173"/>
        <w:spacing w:before="91" w:line="409" w:lineRule="auto"/>
        <w:jc w:val="both"/>
        <w:rPr/>
      </w:pPr>
      <w:r>
        <w:rPr>
          <w:spacing w:val="19"/>
        </w:rPr>
        <w:t>项目所有佐证材料的获得日期是2026年8月31日24:0</w:t>
      </w:r>
      <w:r>
        <w:rPr>
          <w:spacing w:val="18"/>
        </w:rPr>
        <w:t>0之前，且申请</w:t>
      </w:r>
      <w:r>
        <w:rPr/>
        <w:t xml:space="preserve"> </w:t>
      </w:r>
      <w:r>
        <w:rPr>
          <w:spacing w:val="-5"/>
        </w:rPr>
        <w:t>人必须提交的是已正式获得证书、奖项、官方的红头文件或者</w:t>
      </w:r>
      <w:r>
        <w:rPr>
          <w:spacing w:val="-6"/>
        </w:rPr>
        <w:t>已出版的刊</w:t>
      </w:r>
      <w:r>
        <w:rPr/>
        <w:t xml:space="preserve"> </w:t>
      </w:r>
      <w:r>
        <w:rPr>
          <w:spacing w:val="-11"/>
        </w:rPr>
        <w:t>物等等。</w:t>
      </w:r>
    </w:p>
    <w:p>
      <w:pPr>
        <w:pStyle w:val="BodyText"/>
        <w:ind w:right="99" w:firstLine="750"/>
        <w:spacing w:before="3" w:line="357" w:lineRule="auto"/>
        <w:rPr/>
      </w:pPr>
      <w:r>
        <w:rPr/>
        <w:t>(二)学生在学校组织的“为了明天”师范生课堂教学优秀奖评奖活</w:t>
      </w:r>
      <w:r>
        <w:rPr/>
        <w:t xml:space="preserve"> </w:t>
      </w:r>
      <w:r>
        <w:rPr>
          <w:spacing w:val="-6"/>
        </w:rPr>
        <w:t>动、师范生多媒体课件制作大赛、大学生基本教学技能竞赛等获得的成绩</w:t>
      </w:r>
      <w:r>
        <w:rPr>
          <w:spacing w:val="18"/>
        </w:rPr>
        <w:t xml:space="preserve"> </w:t>
      </w:r>
      <w:r>
        <w:rPr>
          <w:spacing w:val="-6"/>
        </w:rPr>
        <w:t>以及在省级以上部门组织的有关教师教育教学方面的比赛获得的成绩，按</w:t>
      </w:r>
      <w:r>
        <w:rPr>
          <w:spacing w:val="12"/>
        </w:rPr>
        <w:t xml:space="preserve"> </w:t>
      </w:r>
      <w:r>
        <w:rPr>
          <w:spacing w:val="-6"/>
        </w:rPr>
        <w:t>学术比赛成绩同等对待。</w:t>
      </w:r>
    </w:p>
    <w:p>
      <w:pPr>
        <w:pStyle w:val="BodyText"/>
        <w:ind w:right="117" w:firstLine="750"/>
        <w:spacing w:before="292" w:line="337" w:lineRule="auto"/>
        <w:rPr/>
      </w:pPr>
      <w:r>
        <w:rPr>
          <w:spacing w:val="-1"/>
        </w:rPr>
        <w:t>(三)获得推免资格的学生，需自行在接收录取阶段的规定时间内通</w:t>
      </w:r>
      <w:r>
        <w:rPr>
          <w:spacing w:val="11"/>
        </w:rPr>
        <w:t xml:space="preserve"> </w:t>
      </w:r>
      <w:r>
        <w:rPr>
          <w:spacing w:val="-5"/>
        </w:rPr>
        <w:t>过教育部“推免服务系统”查询各招生单位</w:t>
      </w:r>
      <w:r>
        <w:rPr>
          <w:spacing w:val="-6"/>
        </w:rPr>
        <w:t>招生信息，填报志愿，按照招</w:t>
      </w:r>
      <w:r>
        <w:rPr/>
        <w:t xml:space="preserve"> </w:t>
      </w:r>
      <w:r>
        <w:rPr>
          <w:spacing w:val="-5"/>
        </w:rPr>
        <w:t>生单位的要求参加复试和录取工作。</w:t>
      </w:r>
    </w:p>
    <w:p>
      <w:pPr>
        <w:pStyle w:val="BodyText"/>
        <w:ind w:right="121" w:firstLine="750"/>
        <w:spacing w:before="298" w:line="316" w:lineRule="auto"/>
        <w:rPr/>
      </w:pPr>
      <w:r>
        <w:rPr>
          <w:spacing w:val="-1"/>
        </w:rPr>
        <w:t>(四)获推免资格学生一经录取，不得再参加当年硕士研究生入学考</w:t>
      </w:r>
      <w:r>
        <w:rPr>
          <w:spacing w:val="7"/>
        </w:rPr>
        <w:t xml:space="preserve"> </w:t>
      </w:r>
      <w:r>
        <w:rPr>
          <w:spacing w:val="-8"/>
        </w:rPr>
        <w:t>试。</w:t>
      </w:r>
    </w:p>
    <w:p>
      <w:pPr>
        <w:pStyle w:val="BodyText"/>
        <w:ind w:right="120" w:firstLine="750"/>
        <w:spacing w:before="278" w:line="312" w:lineRule="auto"/>
        <w:rPr/>
      </w:pPr>
      <w:r>
        <w:rPr>
          <w:spacing w:val="-1"/>
        </w:rPr>
        <w:t>(五)获得推免资格后至当学年结束，出现下列情况之一者，取消其</w:t>
      </w:r>
      <w:r>
        <w:rPr>
          <w:spacing w:val="8"/>
        </w:rPr>
        <w:t xml:space="preserve"> </w:t>
      </w:r>
      <w:r>
        <w:rPr>
          <w:spacing w:val="-6"/>
        </w:rPr>
        <w:t>推免资格，已入学的，取消学籍：</w:t>
      </w:r>
    </w:p>
    <w:p>
      <w:pPr>
        <w:pStyle w:val="BodyText"/>
        <w:ind w:left="590"/>
        <w:spacing w:before="285" w:line="221" w:lineRule="auto"/>
        <w:rPr/>
      </w:pPr>
      <w:r>
        <w:rPr>
          <w:spacing w:val="-5"/>
        </w:rPr>
        <w:t>1.</w:t>
      </w:r>
      <w:r>
        <w:rPr>
          <w:spacing w:val="-5"/>
        </w:rPr>
        <w:t xml:space="preserve"> </w:t>
      </w:r>
      <w:r>
        <w:rPr>
          <w:spacing w:val="-5"/>
        </w:rPr>
        <w:t>不能按时毕业者，或毕业时未取得学士学位者；</w:t>
      </w:r>
    </w:p>
    <w:p>
      <w:pPr>
        <w:pStyle w:val="BodyText"/>
        <w:ind w:left="590"/>
        <w:spacing w:before="285" w:line="221" w:lineRule="auto"/>
        <w:rPr/>
      </w:pPr>
      <w:r>
        <w:rPr>
          <w:rFonts w:ascii="Times New Roman" w:hAnsi="Times New Roman" w:eastAsia="Times New Roman" w:cs="Times New Roman"/>
          <w:spacing w:val="-3"/>
        </w:rPr>
        <w:t>2.   </w:t>
      </w:r>
      <w:r>
        <w:rPr>
          <w:spacing w:val="-3"/>
        </w:rPr>
        <w:t>受刑事、行政、纪律处分者；</w:t>
      </w:r>
    </w:p>
    <w:p>
      <w:pPr>
        <w:pStyle w:val="BodyText"/>
        <w:ind w:left="580"/>
        <w:spacing w:before="274" w:line="220" w:lineRule="auto"/>
        <w:rPr/>
      </w:pPr>
      <w:r>
        <w:rPr>
          <w:rFonts w:ascii="Times New Roman" w:hAnsi="Times New Roman" w:eastAsia="Times New Roman" w:cs="Times New Roman"/>
          <w:spacing w:val="-2"/>
        </w:rPr>
        <w:t>3.   </w:t>
      </w:r>
      <w:r>
        <w:rPr>
          <w:spacing w:val="-2"/>
        </w:rPr>
        <w:t>被发现所提供的成绩或其他材料不实、弄虚作假者。</w:t>
      </w:r>
    </w:p>
    <w:p>
      <w:pPr>
        <w:pStyle w:val="BodyText"/>
        <w:ind w:firstLine="750"/>
        <w:spacing w:before="269" w:line="396" w:lineRule="auto"/>
        <w:rPr/>
      </w:pPr>
      <w:r>
        <w:rPr>
          <w:spacing w:val="-6"/>
        </w:rPr>
        <w:t>(六)该办法实施过程中，如国家和学校相关政策发生调整，以国家、</w:t>
      </w:r>
      <w:r>
        <w:rPr>
          <w:spacing w:val="4"/>
        </w:rPr>
        <w:t xml:space="preserve"> </w:t>
      </w:r>
      <w:r>
        <w:rPr>
          <w:spacing w:val="-9"/>
        </w:rPr>
        <w:t>学校政策为准。</w:t>
      </w:r>
    </w:p>
    <w:p>
      <w:pPr>
        <w:pStyle w:val="BodyText"/>
        <w:ind w:left="590"/>
        <w:spacing w:before="37" w:line="220" w:lineRule="auto"/>
        <w:rPr>
          <w:sz w:val="30"/>
          <w:szCs w:val="30"/>
        </w:rPr>
      </w:pPr>
      <w:r>
        <w:rPr>
          <w:sz w:val="30"/>
          <w:szCs w:val="30"/>
          <w:spacing w:val="-21"/>
        </w:rPr>
        <w:t>十、本实施细则由学院推免工作小组负责解释。</w:t>
      </w:r>
    </w:p>
    <w:p>
      <w:pPr>
        <w:spacing w:line="220" w:lineRule="auto"/>
        <w:sectPr>
          <w:footerReference w:type="default" r:id="rId13"/>
          <w:pgSz w:w="11560" w:h="16490"/>
          <w:pgMar w:top="1401" w:right="1200" w:bottom="1160" w:left="1389" w:header="0" w:footer="935" w:gutter="0"/>
        </w:sectPr>
        <w:rPr>
          <w:sz w:val="30"/>
          <w:szCs w:val="30"/>
        </w:rPr>
      </w:pPr>
    </w:p>
    <w:p>
      <w:pPr>
        <w:spacing w:line="262" w:lineRule="auto"/>
        <w:rPr>
          <w:rFonts w:ascii="Arial"/>
          <w:sz w:val="21"/>
        </w:rPr>
      </w:pPr>
      <w:r/>
    </w:p>
    <w:p>
      <w:pPr>
        <w:spacing w:line="262" w:lineRule="auto"/>
        <w:rPr>
          <w:rFonts w:ascii="Arial"/>
          <w:sz w:val="21"/>
        </w:rPr>
      </w:pPr>
      <w:r/>
    </w:p>
    <w:p>
      <w:pPr>
        <w:pStyle w:val="BodyText"/>
        <w:ind w:left="1995"/>
        <w:spacing w:before="95" w:line="230" w:lineRule="auto"/>
        <w:rPr>
          <w:rFonts w:ascii="STXingkai" w:hAnsi="STXingkai" w:eastAsia="STXingkai" w:cs="STXingkai"/>
        </w:rPr>
      </w:pPr>
      <w:r>
        <w:drawing>
          <wp:anchor distT="0" distB="0" distL="0" distR="0" simplePos="0" relativeHeight="251658240" behindDoc="0" locked="0" layoutInCell="1" allowOverlap="1">
            <wp:simplePos x="0" y="0"/>
            <wp:positionH relativeFrom="column">
              <wp:posOffset>3731226</wp:posOffset>
            </wp:positionH>
            <wp:positionV relativeFrom="paragraph">
              <wp:posOffset>-164514</wp:posOffset>
            </wp:positionV>
            <wp:extent cx="1524055" cy="1498631"/>
            <wp:effectExtent l="0" t="0" r="0" b="0"/>
            <wp:wrapNone/>
            <wp:docPr id="2" name="IM 2"/>
            <wp:cNvGraphicFramePr/>
            <a:graphic>
              <a:graphicData uri="http://schemas.openxmlformats.org/drawingml/2006/picture">
                <pic:pic>
                  <pic:nvPicPr>
                    <pic:cNvPr id="2" name="IM 2"/>
                    <pic:cNvPicPr/>
                  </pic:nvPicPr>
                  <pic:blipFill>
                    <a:blip r:embed="rId15"/>
                    <a:stretch>
                      <a:fillRect/>
                    </a:stretch>
                  </pic:blipFill>
                  <pic:spPr>
                    <a:xfrm rot="0">
                      <a:off x="0" y="0"/>
                      <a:ext cx="1524055" cy="1498631"/>
                    </a:xfrm>
                    <a:prstGeom prst="rect">
                      <a:avLst/>
                    </a:prstGeom>
                  </pic:spPr>
                </pic:pic>
              </a:graphicData>
            </a:graphic>
          </wp:anchor>
        </w:drawing>
      </w:r>
      <w:r>
        <w:rPr>
          <w:spacing w:val="-11"/>
        </w:rPr>
        <w:t>国际商学院学术分委员会主任签名：</w:t>
      </w:r>
      <w:r>
        <w:rPr>
          <w:rFonts w:ascii="LiSu" w:hAnsi="LiSu" w:eastAsia="LiSu" w:cs="LiSu"/>
          <w:spacing w:val="-11"/>
        </w:rPr>
        <w:t>李</w:t>
      </w:r>
      <w:r>
        <w:rPr>
          <w:rFonts w:ascii="LiSu" w:hAnsi="LiSu" w:eastAsia="LiSu" w:cs="LiSu"/>
          <w:spacing w:val="-11"/>
        </w:rPr>
        <w:t xml:space="preserve"> </w:t>
      </w:r>
      <w:r>
        <w:rPr>
          <w:rFonts w:ascii="STXingkai" w:hAnsi="STXingkai" w:eastAsia="STXingkai" w:cs="STXingkai"/>
          <w:spacing w:val="-11"/>
        </w:rPr>
        <w:t>少</w:t>
      </w:r>
      <w:r>
        <w:rPr>
          <w:rFonts w:ascii="STXingkai" w:hAnsi="STXingkai" w:eastAsia="STXingkai" w:cs="STXingkai"/>
          <w:spacing w:val="-12"/>
        </w:rPr>
        <w:t xml:space="preserve">    产</w:t>
      </w:r>
    </w:p>
    <w:p>
      <w:pPr>
        <w:ind w:left="6359"/>
        <w:spacing w:before="156" w:line="221" w:lineRule="auto"/>
        <w:rPr>
          <w:rFonts w:ascii="SimSun" w:hAnsi="SimSun" w:eastAsia="SimSun" w:cs="SimSun"/>
          <w:sz w:val="28"/>
          <w:szCs w:val="28"/>
        </w:rPr>
      </w:pPr>
      <w:r>
        <w:rPr>
          <w:rFonts w:ascii="SimSun" w:hAnsi="SimSun" w:eastAsia="SimSun" w:cs="SimSun"/>
          <w:sz w:val="28"/>
          <w:szCs w:val="28"/>
          <w:spacing w:val="-14"/>
        </w:rPr>
        <w:t>员</w:t>
      </w:r>
      <w:r>
        <w:rPr>
          <w:rFonts w:ascii="SimSun" w:hAnsi="SimSun" w:eastAsia="SimSun" w:cs="SimSun"/>
          <w:sz w:val="28"/>
          <w:szCs w:val="28"/>
          <w:spacing w:val="-20"/>
        </w:rPr>
        <w:t xml:space="preserve"> </w:t>
      </w:r>
      <w:r>
        <w:rPr>
          <w:rFonts w:ascii="SimSun" w:hAnsi="SimSun" w:eastAsia="SimSun" w:cs="SimSun"/>
          <w:sz w:val="28"/>
          <w:szCs w:val="28"/>
          <w:spacing w:val="-14"/>
        </w:rPr>
        <w:t>.</w:t>
      </w:r>
      <w:r>
        <w:rPr>
          <w:rFonts w:ascii="SimSun" w:hAnsi="SimSun" w:eastAsia="SimSun" w:cs="SimSun"/>
          <w:sz w:val="28"/>
          <w:szCs w:val="28"/>
          <w:spacing w:val="-23"/>
        </w:rPr>
        <w:t xml:space="preserve"> </w:t>
      </w:r>
      <w:r>
        <w:rPr>
          <w:rFonts w:ascii="SimSun" w:hAnsi="SimSun" w:eastAsia="SimSun" w:cs="SimSun"/>
          <w:sz w:val="28"/>
          <w:szCs w:val="28"/>
          <w:spacing w:val="-14"/>
        </w:rPr>
        <w:t>巧</w:t>
      </w:r>
      <w:r>
        <w:rPr>
          <w:rFonts w:ascii="SimSun" w:hAnsi="SimSun" w:eastAsia="SimSun" w:cs="SimSun"/>
          <w:sz w:val="28"/>
          <w:szCs w:val="28"/>
          <w:spacing w:val="-20"/>
        </w:rPr>
        <w:t xml:space="preserve"> </w:t>
      </w:r>
      <w:r>
        <w:rPr>
          <w:rFonts w:ascii="SimSun" w:hAnsi="SimSun" w:eastAsia="SimSun" w:cs="SimSun"/>
          <w:sz w:val="28"/>
          <w:szCs w:val="28"/>
          <w:spacing w:val="-14"/>
        </w:rPr>
        <w:t>云</w:t>
      </w:r>
    </w:p>
    <w:p>
      <w:pPr>
        <w:pStyle w:val="BodyText"/>
        <w:ind w:left="1975"/>
        <w:spacing w:before="7" w:line="220" w:lineRule="auto"/>
        <w:rPr/>
      </w:pPr>
      <w:r>
        <w:rPr>
          <w:spacing w:val="-5"/>
        </w:rPr>
        <w:t>国际商学院推免工作小组组长签名：</w:t>
      </w:r>
    </w:p>
    <w:p>
      <w:pPr>
        <w:spacing w:before="179"/>
        <w:jc w:val="right"/>
        <w:rPr>
          <w:rFonts w:ascii="SimSun" w:hAnsi="SimSun" w:eastAsia="SimSun" w:cs="SimSun"/>
          <w:sz w:val="23"/>
          <w:szCs w:val="23"/>
        </w:rPr>
      </w:pPr>
      <w:r>
        <w:rPr>
          <w:rFonts w:ascii="SimSun" w:hAnsi="SimSun" w:eastAsia="SimSun" w:cs="SimSun"/>
          <w:sz w:val="23"/>
          <w:szCs w:val="23"/>
          <w:spacing w:val="-20"/>
          <w:position w:val="-1"/>
        </w:rPr>
        <w:t>亡</w:t>
      </w:r>
      <w:r>
        <w:rPr>
          <w:rFonts w:ascii="SimSun" w:hAnsi="SimSun" w:eastAsia="SimSun" w:cs="SimSun"/>
          <w:sz w:val="23"/>
          <w:szCs w:val="23"/>
          <w:spacing w:val="12"/>
          <w:position w:val="-1"/>
        </w:rPr>
        <w:t xml:space="preserve">  </w:t>
      </w:r>
      <w:r>
        <w:rPr>
          <w:rFonts w:ascii="SimSun" w:hAnsi="SimSun" w:eastAsia="SimSun" w:cs="SimSun"/>
          <w:sz w:val="23"/>
          <w:szCs w:val="23"/>
          <w:spacing w:val="-20"/>
        </w:rPr>
        <w:t>(</w:t>
      </w:r>
      <w:r>
        <w:rPr>
          <w:rFonts w:ascii="SimSun" w:hAnsi="SimSun" w:eastAsia="SimSun" w:cs="SimSun"/>
          <w:sz w:val="23"/>
          <w:szCs w:val="23"/>
          <w:spacing w:val="48"/>
        </w:rPr>
        <w:t xml:space="preserve">  </w:t>
      </w:r>
      <w:r>
        <w:rPr>
          <w:rFonts w:ascii="SimSun" w:hAnsi="SimSun" w:eastAsia="SimSun" w:cs="SimSun"/>
          <w:sz w:val="23"/>
          <w:szCs w:val="23"/>
          <w:spacing w:val="-20"/>
        </w:rPr>
        <w:t>章</w:t>
      </w:r>
      <w:r>
        <w:rPr>
          <w:rFonts w:ascii="SimSun" w:hAnsi="SimSun" w:eastAsia="SimSun" w:cs="SimSun"/>
          <w:sz w:val="23"/>
          <w:szCs w:val="23"/>
          <w:spacing w:val="45"/>
        </w:rPr>
        <w:t xml:space="preserve">  </w:t>
      </w:r>
      <w:r>
        <w:rPr>
          <w:rFonts w:ascii="SimSun" w:hAnsi="SimSun" w:eastAsia="SimSun" w:cs="SimSun"/>
          <w:sz w:val="23"/>
          <w:szCs w:val="23"/>
          <w:spacing w:val="-20"/>
        </w:rPr>
        <w:t>)</w:t>
      </w:r>
    </w:p>
    <w:p>
      <w:pPr>
        <w:pStyle w:val="BodyText"/>
        <w:ind w:left="6376"/>
        <w:spacing w:before="58" w:line="231" w:lineRule="auto"/>
        <w:rPr/>
      </w:pPr>
      <w:r>
        <w:rPr>
          <w:spacing w:val="26"/>
        </w:rPr>
        <w:t>2026年4月</w:t>
      </w:r>
      <w:r>
        <w:rPr>
          <w:spacing w:val="-67"/>
        </w:rPr>
        <w:t xml:space="preserve"> </w:t>
      </w:r>
      <w:r>
        <w:rPr>
          <w:spacing w:val="26"/>
          <w:position w:val="1"/>
        </w:rPr>
        <w:t>24日</w:t>
      </w:r>
    </w:p>
    <w:sectPr>
      <w:footerReference w:type="default" r:id="rId14"/>
      <w:pgSz w:w="11560" w:h="16490"/>
      <w:pgMar w:top="1401" w:right="948" w:bottom="1198" w:left="1734" w:header="0" w:footer="911"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 w:name="LiSu">
    <w:panose1 w:val="02010509060101010101"/>
    <w:charset w:val="86"/>
    <w:family w:val="auto"/>
    <w:pitch w:val="default"/>
    <w:sig w:usb0="00000001" w:usb1="080E0000" w:usb2="00000000" w:usb3="00000000" w:csb0="00040000" w:csb1="00000000"/>
  </w:font>
  <w:font w:name="STXingkai">
    <w:panose1 w:val="02010800040101010101"/>
    <w:charset w:val="86"/>
    <w:family w:val="auto"/>
    <w:pitch w:val="variable"/>
    <w:sig w:usb0="00000001" w:usb1="080F0000" w:usb2="00000000" w:usb3="00000000" w:csb0="00040000"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99"/>
      <w:spacing w:before="1" w:line="232" w:lineRule="auto"/>
      <w:rPr>
        <w:rFonts w:ascii="SimSun" w:hAnsi="SimSun" w:eastAsia="SimSun" w:cs="SimSun"/>
        <w:sz w:val="23"/>
        <w:szCs w:val="23"/>
      </w:rPr>
    </w:pPr>
    <w:r>
      <w:rPr>
        <w:rFonts w:ascii="SimSun" w:hAnsi="SimSun" w:eastAsia="SimSun" w:cs="SimSun"/>
        <w:sz w:val="23"/>
        <w:szCs w:val="23"/>
        <w:spacing w:val="-3"/>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2" w:lineRule="auto"/>
      <w:rPr>
        <w:rFonts w:ascii="Times New Roman" w:hAnsi="Times New Roman" w:eastAsia="Times New Roman" w:cs="Times New Roman"/>
        <w:sz w:val="24"/>
        <w:szCs w:val="24"/>
      </w:rPr>
    </w:pPr>
    <w:r>
      <w:rPr>
        <w:rFonts w:ascii="SimSun" w:hAnsi="SimSun" w:eastAsia="SimSun" w:cs="SimSun"/>
        <w:sz w:val="24"/>
        <w:szCs w:val="24"/>
        <w:color w:val="204050"/>
        <w:spacing w:val="-5"/>
        <w:w w:val="91"/>
      </w:rPr>
      <w:t>—</w:t>
    </w:r>
    <w:r>
      <w:rPr>
        <w:rFonts w:ascii="SimSun" w:hAnsi="SimSun" w:eastAsia="SimSun" w:cs="SimSun"/>
        <w:sz w:val="24"/>
        <w:szCs w:val="24"/>
        <w:color w:val="204050"/>
        <w:spacing w:val="-25"/>
      </w:rPr>
      <w:t xml:space="preserve"> </w:t>
    </w:r>
    <w:r>
      <w:rPr>
        <w:rFonts w:ascii="Times New Roman" w:hAnsi="Times New Roman" w:eastAsia="Times New Roman" w:cs="Times New Roman"/>
        <w:sz w:val="24"/>
        <w:szCs w:val="24"/>
        <w:spacing w:val="-5"/>
        <w:w w:val="91"/>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19"/>
      <w:spacing w:line="231" w:lineRule="auto"/>
      <w:rPr>
        <w:rFonts w:ascii="SimSun" w:hAnsi="SimSun" w:eastAsia="SimSun" w:cs="SimSun"/>
        <w:sz w:val="23"/>
        <w:szCs w:val="23"/>
      </w:rPr>
    </w:pPr>
    <w:r>
      <w:rPr>
        <w:rFonts w:ascii="SimSun" w:hAnsi="SimSun" w:eastAsia="SimSun" w:cs="SimSun"/>
        <w:sz w:val="23"/>
        <w:szCs w:val="23"/>
        <w:spacing w:val="-3"/>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3" w:lineRule="auto"/>
      <w:rPr>
        <w:rFonts w:ascii="SimSun" w:hAnsi="SimSun" w:eastAsia="SimSun" w:cs="SimSun"/>
        <w:sz w:val="24"/>
        <w:szCs w:val="24"/>
      </w:rPr>
    </w:pPr>
    <w:r>
      <w:rPr>
        <w:rFonts w:ascii="SimSun" w:hAnsi="SimSun" w:eastAsia="SimSun" w:cs="SimSun"/>
        <w:sz w:val="24"/>
        <w:szCs w:val="24"/>
        <w:spacing w:val="-3"/>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99"/>
      <w:spacing w:line="230" w:lineRule="auto"/>
      <w:rPr>
        <w:rFonts w:ascii="SimSun" w:hAnsi="SimSun" w:eastAsia="SimSun" w:cs="SimSun"/>
        <w:sz w:val="21"/>
        <w:szCs w:val="21"/>
      </w:rPr>
    </w:pPr>
    <w:r>
      <w:rPr>
        <w:rFonts w:ascii="SimSun" w:hAnsi="SimSun" w:eastAsia="SimSun" w:cs="SimSun"/>
        <w:sz w:val="21"/>
        <w:szCs w:val="21"/>
        <w:spacing w:val="-3"/>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1" w:lineRule="auto"/>
      <w:rPr>
        <w:rFonts w:ascii="SimSun" w:hAnsi="SimSun" w:eastAsia="SimSun" w:cs="SimSun"/>
        <w:sz w:val="24"/>
        <w:szCs w:val="24"/>
      </w:rPr>
    </w:pPr>
    <w:r>
      <w:rPr>
        <w:rFonts w:ascii="SimSun" w:hAnsi="SimSun" w:eastAsia="SimSun" w:cs="SimSun"/>
        <w:sz w:val="24"/>
        <w:szCs w:val="24"/>
        <w:spacing w:val="-3"/>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90"/>
      <w:spacing w:line="231" w:lineRule="auto"/>
      <w:rPr>
        <w:rFonts w:ascii="SimSun" w:hAnsi="SimSun" w:eastAsia="SimSun" w:cs="SimSun"/>
        <w:sz w:val="22"/>
        <w:szCs w:val="22"/>
      </w:rPr>
    </w:pPr>
    <w:r>
      <w:rPr>
        <w:rFonts w:ascii="SimSun" w:hAnsi="SimSun" w:eastAsia="SimSun" w:cs="SimSun"/>
        <w:sz w:val="22"/>
        <w:szCs w:val="22"/>
        <w:spacing w:val="-3"/>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1" w:lineRule="auto"/>
      <w:rPr>
        <w:rFonts w:ascii="SimSun" w:hAnsi="SimSun" w:eastAsia="SimSun" w:cs="SimSun"/>
        <w:sz w:val="24"/>
        <w:szCs w:val="24"/>
      </w:rPr>
    </w:pPr>
    <w:r>
      <w:rPr>
        <w:rFonts w:ascii="SimSun" w:hAnsi="SimSun" w:eastAsia="SimSun" w:cs="SimSun"/>
        <w:sz w:val="24"/>
        <w:szCs w:val="24"/>
        <w:spacing w:val="-3"/>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59"/>
      <w:spacing w:line="172" w:lineRule="auto"/>
      <w:rPr>
        <w:rFonts w:ascii="Times New Roman" w:hAnsi="Times New Roman" w:eastAsia="Times New Roman" w:cs="Times New Roman"/>
        <w:sz w:val="24"/>
        <w:szCs w:val="24"/>
      </w:rPr>
    </w:pPr>
    <w:r>
      <w:rPr>
        <w:rFonts w:ascii="SimSun" w:hAnsi="SimSun" w:eastAsia="SimSun" w:cs="SimSun"/>
        <w:sz w:val="24"/>
        <w:szCs w:val="24"/>
        <w:color w:val="103050"/>
        <w:spacing w:val="-9"/>
        <w:w w:val="72"/>
      </w:rPr>
      <w:t>—</w:t>
    </w:r>
    <w:r>
      <w:rPr>
        <w:rFonts w:ascii="SimSun" w:hAnsi="SimSun" w:eastAsia="SimSun" w:cs="SimSun"/>
        <w:sz w:val="24"/>
        <w:szCs w:val="24"/>
        <w:color w:val="103050"/>
        <w:spacing w:val="-15"/>
      </w:rPr>
      <w:t xml:space="preserve"> </w:t>
    </w:r>
    <w:r>
      <w:rPr>
        <w:rFonts w:ascii="Times New Roman" w:hAnsi="Times New Roman" w:eastAsia="Times New Roman" w:cs="Times New Roman"/>
        <w:sz w:val="24"/>
        <w:szCs w:val="24"/>
        <w:spacing w:val="-4"/>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2" w:lineRule="auto"/>
      <w:rPr>
        <w:rFonts w:ascii="SimSun" w:hAnsi="SimSun" w:eastAsia="SimSun" w:cs="SimSun"/>
        <w:sz w:val="23"/>
        <w:szCs w:val="23"/>
      </w:rPr>
    </w:pPr>
    <w:r>
      <w:rPr>
        <w:rFonts w:ascii="Times New Roman" w:hAnsi="Times New Roman" w:eastAsia="Times New Roman" w:cs="Times New Roman"/>
        <w:sz w:val="23"/>
        <w:szCs w:val="23"/>
      </w:rPr>
      <w:t>—10</w:t>
    </w:r>
    <w:r>
      <w:rPr>
        <w:rFonts w:ascii="Times New Roman" w:hAnsi="Times New Roman" w:eastAsia="Times New Roman" w:cs="Times New Roman"/>
        <w:sz w:val="23"/>
        <w:szCs w:val="23"/>
        <w:spacing w:val="15"/>
      </w:rPr>
      <w:t xml:space="preserve">   </w:t>
    </w:r>
    <w:r>
      <w:rPr>
        <w:rFonts w:ascii="SimSun" w:hAnsi="SimSun" w:eastAsia="SimSun" w:cs="SimSun"/>
        <w:sz w:val="23"/>
        <w:szCs w:val="23"/>
        <w:color w:val="203050"/>
      </w:rPr>
      <w:t>—</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46"/>
      <w:spacing w:line="232" w:lineRule="auto"/>
      <w:rPr>
        <w:rFonts w:ascii="SimSun" w:hAnsi="SimSun" w:eastAsia="SimSun" w:cs="SimSun"/>
        <w:sz w:val="22"/>
        <w:szCs w:val="22"/>
      </w:rPr>
    </w:pPr>
    <w:r>
      <w:rPr>
        <w:rFonts w:ascii="SimSun" w:hAnsi="SimSun" w:eastAsia="SimSun" w:cs="SimSun"/>
        <w:sz w:val="22"/>
        <w:szCs w:val="22"/>
        <w:spacing w:val="-2"/>
      </w:rPr>
      <w:t>—11—</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yperlink" Target="http://www.wanfangdata.com.cn/index.html" TargetMode="External"/><Relationship Id="rId6" Type="http://schemas.openxmlformats.org/officeDocument/2006/relationships/hyperlink" Target="https://www.cnki.net/" TargetMode="External"/><Relationship Id="rId5" Type="http://schemas.openxmlformats.org/officeDocument/2006/relationships/hyperlink" Target="http://www.nppa.gov.cn/nppa/publishing/magazine.shtml" TargetMode="Externa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8" Type="http://schemas.openxmlformats.org/officeDocument/2006/relationships/fontTable" Target="fontTable.xml"/><Relationship Id="rId17" Type="http://schemas.openxmlformats.org/officeDocument/2006/relationships/styles" Target="styles.xml"/><Relationship Id="rId16" Type="http://schemas.openxmlformats.org/officeDocument/2006/relationships/settings" Target="settings.xml"/><Relationship Id="rId15" Type="http://schemas.openxmlformats.org/officeDocument/2006/relationships/image" Target="media/image1.png"/><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2026-09-11T16:42:24Z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2026-09-11T16:42:25</vt:filetime>
  </property>
  <property fmtid="{D5CDD505-2E9C-101B-9397-08002B2CF9AE}" pid="4" name="UsrData">
    <vt:lpwstr>6aa3beee2ec56d001f9ff096wl</vt:lpwstr>
  </property>
</Properties>
</file>