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机械工程学院2026届毕业生推免工作实施细则</w:t>
      </w:r>
    </w:p>
    <w:p>
      <w:pPr>
        <w:spacing w:after="80" w:lineRule="auto" w:line="360"/>
        <w:ind w:firstLine="482"/>
        <w:jc w:val="both"/>
      </w:pPr>
      <w:r>
        <w:rPr>
          <w:rFonts w:ascii="Times New Roman" w:hAnsi="Times New Roman" w:eastAsia="宋体"/>
          <w:b w:val="0"/>
          <w:sz w:val="24"/>
        </w:rPr>
        <w:t>机械工程学院2026届毕业生推免工作实施细则</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按照教育部《全国普通高等学校推荐优秀应届本科毕业生免试攻读硕士学位研究生工作管理办法（试行）》（教学〔2006〕14号）、《关于进一步规范和加强推荐优秀应届本科毕业生免试攻读研究生工作的通知》（教学厅〔2020〕12号）等相关文件及《内蒙古科技大学关于推荐2026届优秀应届本科毕业生免试攻读硕士学位研究生工作的实施方案》的相关精神，为了加强对推免工作的管理，促进推免工作规范化和制度化，保证推免生质量，结合机械工程学院实际情况，特制定本实施细则。</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围绕落实立德树人根本任务，从国家急迫需要和长远需求出发，坚持面向世界科技前沿、面向经济主战场、面向国家重大需求、面向人民生命健康，牢固树立质量意识，坚持全面考查、综合评价、择优选拔的原则，坚持公开、公平、公正原则，通过推免生工作引导学生全面发展。</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学院成立推免生遴选工作小组，组成如下：</w:t>
      </w:r>
    </w:p>
    <w:p>
      <w:pPr>
        <w:spacing w:after="80" w:lineRule="auto" w:line="360"/>
        <w:ind w:firstLine="482"/>
        <w:jc w:val="both"/>
      </w:pPr>
      <w:r>
        <w:rPr>
          <w:rFonts w:ascii="Times New Roman" w:hAnsi="Times New Roman" w:eastAsia="宋体"/>
          <w:b w:val="0"/>
          <w:sz w:val="24"/>
        </w:rPr>
        <w:t>组长：王少锋、黄成钢</w:t>
      </w:r>
    </w:p>
    <w:p>
      <w:pPr>
        <w:spacing w:after="80" w:lineRule="auto" w:line="360"/>
        <w:ind w:firstLine="482"/>
        <w:jc w:val="both"/>
      </w:pPr>
      <w:r>
        <w:rPr>
          <w:rFonts w:ascii="Times New Roman" w:hAnsi="Times New Roman" w:eastAsia="宋体"/>
          <w:b w:val="0"/>
          <w:sz w:val="24"/>
        </w:rPr>
        <w:t>成员：曹丽英、罗宁、郭晓峰、虞启辉、张恩慧、贾慧灵、孟可可、闫洪波</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推荐工作应遵循德、智、体、美、劳全面衡量，坚持择优推荐、保证质量，把学生思想政治素质和品德考核作为遴选推荐和考核录取的首要依据，思想品德考核不合格者不予以推荐。被推荐人应同时具备以下基本条件：</w:t>
      </w:r>
    </w:p>
    <w:p>
      <w:pPr>
        <w:spacing w:after="80" w:lineRule="auto" w:line="360"/>
        <w:ind w:firstLine="482"/>
        <w:jc w:val="both"/>
      </w:pPr>
      <w:r>
        <w:rPr>
          <w:rFonts w:ascii="Times New Roman" w:hAnsi="Times New Roman" w:eastAsia="宋体"/>
          <w:b w:val="0"/>
          <w:sz w:val="24"/>
        </w:rPr>
        <w:t>1. 具有高尚的爱国主义情操和集体主义精神，践行社会主义核心价值观，遵守学术道德和学术规范，诚实守信，遵纪守法，积极向上，身心健康。</w:t>
      </w:r>
    </w:p>
    <w:p>
      <w:pPr>
        <w:spacing w:after="80" w:lineRule="auto" w:line="360"/>
        <w:ind w:firstLine="482"/>
        <w:jc w:val="both"/>
      </w:pPr>
      <w:r>
        <w:rPr>
          <w:rFonts w:ascii="Times New Roman" w:hAnsi="Times New Roman" w:eastAsia="宋体"/>
          <w:b w:val="0"/>
          <w:sz w:val="24"/>
        </w:rPr>
        <w:t>2. 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前六个学期必修课程学分绩在本专业排名前30%（若同一专业中培养方案不同，按同一培养方案排名前30%）；截止2025年9月5日12时00分必修课无挂科（补考、重修通过视为无挂科）的学生获得推免生候选资格。</w:t>
      </w:r>
    </w:p>
    <w:p>
      <w:pPr>
        <w:spacing w:after="80" w:lineRule="auto" w:line="360"/>
        <w:ind w:firstLine="482"/>
        <w:jc w:val="both"/>
      </w:pPr>
      <w:r>
        <w:rPr>
          <w:rFonts w:ascii="Times New Roman" w:hAnsi="Times New Roman" w:eastAsia="宋体"/>
          <w:b w:val="0"/>
          <w:sz w:val="24"/>
        </w:rPr>
        <w:t>4. 诚实守信，学风端正，品行表现优良，无任何考试作弊、剽窃他人学术成果和违法违纪受处分记录。</w:t>
      </w:r>
    </w:p>
    <w:p>
      <w:pPr>
        <w:spacing w:after="80" w:lineRule="auto" w:line="360"/>
        <w:ind w:firstLine="482"/>
        <w:jc w:val="both"/>
      </w:pPr>
      <w:r>
        <w:rPr>
          <w:rFonts w:ascii="Times New Roman" w:hAnsi="Times New Roman" w:eastAsia="宋体"/>
          <w:b w:val="0"/>
          <w:sz w:val="24"/>
        </w:rPr>
        <w:t>5. 具有较高的外语水平和运用能力。</w:t>
      </w:r>
    </w:p>
    <w:p>
      <w:pPr>
        <w:spacing w:after="80" w:lineRule="auto" w:line="360"/>
        <w:ind w:firstLine="482"/>
        <w:jc w:val="both"/>
      </w:pPr>
      <w:r>
        <w:rPr>
          <w:rFonts w:ascii="Times New Roman" w:hAnsi="Times New Roman" w:eastAsia="宋体"/>
          <w:b w:val="0"/>
          <w:sz w:val="24"/>
        </w:rPr>
        <w:t>6. 对有特殊学术专长或具有突出培养潜质者，经本校二级教授或学科带头人牵头的三名以上（含三名）教授联名推荐，学生有关材料（如获奖证书、论文、发明专利、创新创业比赛、主持大学生创新实验计划等，第一署名单位须为内蒙古科技大学）和教授推荐信经学院公示、学校推免生遴选工作领导小组审查同意，可不受上述第三条限制。</w:t>
      </w:r>
    </w:p>
    <w:p>
      <w:pPr>
        <w:spacing w:before="160" w:after="80" w:lineRule="auto" w:line="360"/>
        <w:jc w:val="left"/>
      </w:pPr>
      <w:r>
        <w:rPr>
          <w:rFonts w:ascii="Times New Roman" w:hAnsi="Times New Roman" w:eastAsia="宋体"/>
          <w:b/>
          <w:sz w:val="28"/>
        </w:rPr>
        <w:t>四、计分办法</w:t>
      </w:r>
    </w:p>
    <w:p>
      <w:pPr>
        <w:spacing w:after="80" w:lineRule="auto" w:line="360"/>
        <w:ind w:firstLine="482"/>
        <w:jc w:val="both"/>
      </w:pPr>
      <w:r>
        <w:rPr>
          <w:rFonts w:ascii="Times New Roman" w:hAnsi="Times New Roman" w:eastAsia="宋体"/>
          <w:b w:val="0"/>
          <w:sz w:val="24"/>
        </w:rPr>
        <w:t>（一）综合测评成绩</w:t>
      </w:r>
    </w:p>
    <w:p>
      <w:pPr>
        <w:spacing w:after="80" w:lineRule="auto" w:line="360"/>
        <w:ind w:firstLine="482"/>
        <w:jc w:val="both"/>
      </w:pPr>
      <w:r>
        <w:rPr>
          <w:rFonts w:ascii="Times New Roman" w:hAnsi="Times New Roman" w:eastAsia="宋体"/>
          <w:b w:val="0"/>
          <w:sz w:val="24"/>
        </w:rPr>
        <w:t>推免生综合测评成绩由课程学习成绩、特殊学术专长或具有突出培养潜质加分构成（计算结果保留两位小数，下同）。</w:t>
      </w:r>
    </w:p>
    <w:p>
      <w:pPr>
        <w:spacing w:after="80" w:lineRule="auto" w:line="360"/>
        <w:ind w:firstLine="482"/>
        <w:jc w:val="both"/>
      </w:pPr>
      <w:r>
        <w:rPr>
          <w:rFonts w:ascii="Times New Roman" w:hAnsi="Times New Roman" w:eastAsia="宋体"/>
          <w:b w:val="0"/>
          <w:sz w:val="24"/>
        </w:rPr>
        <w:t>学院根据具体情况确定本学院计分办法，其中课程学习成绩占比为90%，计分办法为：</w:t>
      </w:r>
    </w:p>
    <w:p>
      <w:pPr>
        <w:spacing w:after="80" w:lineRule="auto" w:line="360"/>
        <w:ind w:firstLine="482"/>
        <w:jc w:val="both"/>
      </w:pPr>
      <w:r>
        <w:rPr>
          <w:rFonts w:ascii="Times New Roman" w:hAnsi="Times New Roman" w:eastAsia="宋体"/>
          <w:b w:val="0"/>
          <w:sz w:val="24"/>
        </w:rPr>
        <w:t>综合测评成绩=课程学习成绩×90%＋特殊学术专长或具有突出培养潜质加分。</w:t>
      </w:r>
    </w:p>
    <w:p>
      <w:pPr>
        <w:spacing w:after="80" w:lineRule="auto" w:line="360"/>
        <w:ind w:firstLine="482"/>
        <w:jc w:val="both"/>
      </w:pPr>
      <w:r>
        <w:rPr>
          <w:rFonts w:ascii="Times New Roman" w:hAnsi="Times New Roman" w:eastAsia="宋体"/>
          <w:b w:val="0"/>
          <w:sz w:val="24"/>
        </w:rPr>
        <w:t>（二）课程学习成绩</w:t>
      </w:r>
    </w:p>
    <w:p>
      <w:pPr>
        <w:spacing w:after="80" w:lineRule="auto" w:line="360"/>
        <w:ind w:firstLine="482"/>
        <w:jc w:val="both"/>
      </w:pPr>
      <w:r>
        <w:rPr>
          <w:rFonts w:ascii="Times New Roman" w:hAnsi="Times New Roman" w:eastAsia="宋体"/>
          <w:b w:val="0"/>
          <w:sz w:val="24"/>
        </w:rPr>
        <w:t>课程学习成绩以必修课程学分绩来衡量，总分为100分，考核范围为四年制专业前六个学期所有计划内必修课程的考试成绩，必修课为首次成绩。必修课程学分绩的考核与计分由学院负责。</w:t>
      </w:r>
    </w:p>
    <w:p>
      <w:pPr>
        <w:spacing w:after="80" w:lineRule="auto" w:line="360"/>
        <w:ind w:firstLine="482"/>
        <w:jc w:val="both"/>
      </w:pPr>
      <w:r>
        <w:rPr>
          <w:rFonts w:ascii="Times New Roman" w:hAnsi="Times New Roman" w:eastAsia="宋体"/>
          <w:b w:val="0"/>
          <w:sz w:val="24"/>
        </w:rPr>
        <w:t>必修课程学分绩的计分办法为：</w:t>
      </w:r>
    </w:p>
    <w:p>
      <w:pPr>
        <w:spacing w:after="80" w:lineRule="auto" w:line="360"/>
        <w:ind w:firstLine="482"/>
        <w:jc w:val="both"/>
      </w:pPr>
      <w:r>
        <w:rPr>
          <w:rFonts w:ascii="Times New Roman" w:hAnsi="Times New Roman" w:eastAsia="宋体"/>
          <w:b w:val="0"/>
          <w:sz w:val="24"/>
        </w:rPr>
        <w:t>必修课程学分绩=Σ（必修课成绩×该课程学分）÷Σ必修课程学分</w:t>
      </w:r>
    </w:p>
    <w:p>
      <w:pPr>
        <w:spacing w:after="80" w:lineRule="auto" w:line="360"/>
        <w:ind w:firstLine="482"/>
        <w:jc w:val="both"/>
      </w:pPr>
      <w:r>
        <w:rPr>
          <w:rFonts w:ascii="Times New Roman" w:hAnsi="Times New Roman" w:eastAsia="宋体"/>
          <w:b w:val="0"/>
          <w:sz w:val="24"/>
        </w:rPr>
        <w:t>（三）特殊学术专长或具有突出培养潜质加分</w:t>
      </w:r>
    </w:p>
    <w:p>
      <w:pPr>
        <w:spacing w:after="80" w:lineRule="auto" w:line="360"/>
        <w:ind w:firstLine="482"/>
        <w:jc w:val="both"/>
      </w:pPr>
      <w:r>
        <w:rPr>
          <w:rFonts w:ascii="Times New Roman" w:hAnsi="Times New Roman" w:eastAsia="宋体"/>
          <w:b w:val="0"/>
          <w:sz w:val="24"/>
        </w:rPr>
        <w:t>特殊学术专长或具有突出培养潜质加分是将学生参军入伍服兵役、参加志愿服务、到国际组织实习、科研成果、竞赛获奖等符合全面发展价值导向等因素纳入学校推免生遴选指标体系，综合评价学生各方面表现。同一项目不可累加计算，均按最高级别加分计算，所有项目累加总分不超过10分。特殊学术专长或具有突出培养潜质加分项目及标准如下：</w:t>
      </w:r>
    </w:p>
    <w:p>
      <w:pPr>
        <w:spacing w:after="80" w:lineRule="auto" w:line="360"/>
        <w:ind w:firstLine="482"/>
        <w:jc w:val="both"/>
      </w:pPr>
      <w:r>
        <w:rPr>
          <w:rFonts w:ascii="Times New Roman" w:hAnsi="Times New Roman" w:eastAsia="宋体"/>
          <w:b w:val="0"/>
          <w:sz w:val="24"/>
        </w:rPr>
        <w:t>1. 在校期间，参军入伍服兵役、参加志愿服务、到国际组织实习情况。</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类型</w:t>
            </w:r>
          </w:p>
        </w:tc>
        <w:tc>
          <w:tcPr>
            <w:tcW w:type="dxa" w:w="2878"/>
          </w:tcPr>
          <w:p>
            <w:pPr>
              <w:spacing w:after="20" w:before="20"/>
            </w:pPr>
            <w:r/>
            <w:r>
              <w:rPr>
                <w:rFonts w:ascii="Times New Roman" w:hAnsi="Times New Roman" w:eastAsia="宋体"/>
                <w:b/>
                <w:sz w:val="21"/>
              </w:rPr>
              <w:t>加分分值/项</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参军入伍服兵役</w:t>
            </w:r>
          </w:p>
        </w:tc>
        <w:tc>
          <w:tcPr>
            <w:tcW w:type="dxa" w:w="2878"/>
          </w:tcPr>
          <w:p>
            <w:pPr>
              <w:spacing w:after="20" w:before="20"/>
            </w:pPr>
            <w:r/>
            <w:r>
              <w:rPr>
                <w:rFonts w:ascii="Times New Roman" w:hAnsi="Times New Roman" w:eastAsia="宋体"/>
                <w:b w:val="0"/>
                <w:sz w:val="21"/>
              </w:rPr>
              <w:t>0.8</w:t>
            </w:r>
          </w:p>
        </w:tc>
        <w:tc>
          <w:tcPr>
            <w:tcW w:type="dxa" w:w="2878"/>
          </w:tcPr>
          <w:p>
            <w:pPr>
              <w:spacing w:after="20" w:before="20"/>
            </w:pPr>
            <w:r/>
            <w:r>
              <w:rPr>
                <w:rFonts w:ascii="Times New Roman" w:hAnsi="Times New Roman" w:eastAsia="宋体"/>
                <w:b w:val="0"/>
                <w:sz w:val="21"/>
              </w:rPr>
              <w:t>累计加分最多不超过1分</w:t>
            </w:r>
          </w:p>
        </w:tc>
      </w:tr>
      <w:tr>
        <w:tc>
          <w:tcPr>
            <w:tcW w:type="dxa" w:w="2878"/>
          </w:tcPr>
          <w:p>
            <w:pPr>
              <w:spacing w:after="20" w:before="20"/>
            </w:pPr>
            <w:r/>
            <w:r>
              <w:rPr>
                <w:rFonts w:ascii="Times New Roman" w:hAnsi="Times New Roman" w:eastAsia="宋体"/>
                <w:b w:val="0"/>
                <w:sz w:val="21"/>
              </w:rPr>
              <w:t>参加志愿服务</w:t>
            </w:r>
          </w:p>
        </w:tc>
        <w:tc>
          <w:tcPr>
            <w:tcW w:type="dxa" w:w="2878"/>
          </w:tcPr>
          <w:p>
            <w:pPr>
              <w:spacing w:after="20" w:before="20"/>
            </w:pPr>
            <w:r/>
            <w:r>
              <w:rPr>
                <w:rFonts w:ascii="Times New Roman" w:hAnsi="Times New Roman" w:eastAsia="宋体"/>
                <w:b w:val="0"/>
                <w:sz w:val="21"/>
              </w:rPr>
              <w:t>0.1</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到国际组织实习</w:t>
            </w:r>
          </w:p>
        </w:tc>
        <w:tc>
          <w:tcPr>
            <w:tcW w:type="dxa" w:w="2878"/>
          </w:tcPr>
          <w:p>
            <w:pPr>
              <w:spacing w:after="20" w:before="20"/>
            </w:pPr>
            <w:r/>
            <w:r>
              <w:rPr>
                <w:rFonts w:ascii="Times New Roman" w:hAnsi="Times New Roman" w:eastAsia="宋体"/>
                <w:b w:val="0"/>
                <w:sz w:val="21"/>
              </w:rPr>
              <w:t>0.2</w:t>
            </w:r>
          </w:p>
        </w:tc>
        <w:tc>
          <w:tcPr>
            <w:tcW w:type="dxa" w:w="287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