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 序号 | 资助范围 | 资助权重值 |</w:t>
      </w:r>
    </w:p>
    <w:p>
      <w:pPr>
        <w:spacing w:after="80" w:lineRule="auto" w:line="360"/>
        <w:ind w:firstLine="482"/>
        <w:jc w:val="both"/>
      </w:pPr>
      <w:r>
        <w:rPr>
          <w:rFonts w:ascii="Times New Roman" w:hAnsi="Times New Roman" w:eastAsia="宋体"/>
          <w:b w:val="0"/>
          <w:sz w:val="24"/>
        </w:rPr>
        <w:t>陕科大校研〔2022〕6 号文件印发《陕西科技大学研究生科研创新贡献资助办法（试行）》。该办法已于2022年3月25日经学校深化综合改革领导小组会议审议通过，自2022年1月1日开始实施。原《陕西科技大学“双一流”建设研究生科研创新成果贡献激励办法（试行）》（陕科大校[2021]24号附件5）自本办法执行之日起废止，由研究生院（党委研究生工作部）负责解释。</w:t>
      </w:r>
    </w:p>
    <w:p>
      <w:pPr>
        <w:spacing w:after="80" w:lineRule="auto" w:line="360"/>
        <w:ind w:firstLine="482"/>
        <w:jc w:val="both"/>
      </w:pPr>
      <w:r>
        <w:rPr>
          <w:rFonts w:ascii="Times New Roman" w:hAnsi="Times New Roman" w:eastAsia="宋体"/>
          <w:b w:val="0"/>
          <w:sz w:val="24"/>
        </w:rPr>
        <w:t>发布日期：2022年3月25日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制定目的：为贯彻落实中共中央、国务院《深化新时代教育评价改革总体方案》（中发〔2020〕19号）等文件精神，加强研究生科研创新意识和创新能力培养，调动研究生从事高水平、原创性科研活动的积极性，实现拔尖创新人才培育输出，促进学校“双一流”建设。</w:t>
      </w:r>
    </w:p>
    <w:p>
      <w:pPr>
        <w:spacing w:after="80" w:lineRule="auto" w:line="360"/>
        <w:ind w:firstLine="482"/>
        <w:jc w:val="both"/>
      </w:pPr>
      <w:r>
        <w:rPr>
          <w:rFonts w:ascii="Times New Roman" w:hAnsi="Times New Roman" w:eastAsia="宋体"/>
          <w:b w:val="0"/>
          <w:sz w:val="24"/>
        </w:rPr>
        <w:t>2. 资助用途：用于激励研究生在理论创新、技术创新、艺术创作等方面取得的高水平基础创新成果、国内外高价值发明专利以及社会基础服务贡献成果等。</w:t>
      </w:r>
    </w:p>
    <w:p>
      <w:pPr>
        <w:spacing w:after="80" w:lineRule="auto" w:line="360"/>
        <w:ind w:firstLine="482"/>
        <w:jc w:val="both"/>
      </w:pPr>
      <w:r>
        <w:rPr>
          <w:rFonts w:ascii="Times New Roman" w:hAnsi="Times New Roman" w:eastAsia="宋体"/>
          <w:b w:val="0"/>
          <w:sz w:val="24"/>
        </w:rPr>
        <w:t>3. 经费管理：研究生科研创新贡献资助经费由学校统筹管理，研究生院具体执行。</w:t>
      </w:r>
    </w:p>
    <w:p>
      <w:pPr>
        <w:spacing w:after="80" w:lineRule="auto" w:line="360"/>
        <w:ind w:firstLine="482"/>
        <w:jc w:val="both"/>
      </w:pPr>
      <w:r>
        <w:rPr>
          <w:rFonts w:ascii="Times New Roman" w:hAnsi="Times New Roman" w:eastAsia="宋体"/>
          <w:b w:val="0"/>
          <w:sz w:val="24"/>
        </w:rPr>
        <w:t>4. 资助对象：纳入全国研究生招生计划的全脱产学习，入学时档案、人事关系全部转入我校，并且没有固定工资收入的研究生。</w:t>
      </w:r>
    </w:p>
    <w:p>
      <w:pPr>
        <w:spacing w:after="80" w:lineRule="auto" w:line="360"/>
        <w:ind w:firstLine="482"/>
        <w:jc w:val="both"/>
      </w:pPr>
      <w:r>
        <w:rPr>
          <w:rFonts w:ascii="Times New Roman" w:hAnsi="Times New Roman" w:eastAsia="宋体"/>
          <w:b w:val="0"/>
          <w:sz w:val="24"/>
        </w:rPr>
        <w:t>5. 署名要求：本办法所涉及的相关指标中，均须我校作为第一署名单位，所有资助项目均需署名“陕西科技大学”（英文：Shaanxi University of Science and Technology）。</w:t>
      </w:r>
    </w:p>
    <w:p>
      <w:pPr>
        <w:spacing w:before="160" w:after="80" w:lineRule="auto" w:line="360"/>
        <w:jc w:val="left"/>
      </w:pPr>
      <w:r>
        <w:rPr>
          <w:rFonts w:ascii="Times New Roman" w:hAnsi="Times New Roman" w:eastAsia="宋体"/>
          <w:b/>
          <w:sz w:val="28"/>
        </w:rPr>
        <w:t>二、资助范围及资助标准</w:t>
      </w:r>
    </w:p>
    <w:p>
      <w:pPr>
        <w:spacing w:after="80" w:lineRule="auto" w:line="360"/>
        <w:ind w:firstLine="482"/>
        <w:jc w:val="both"/>
      </w:pPr>
      <w:r>
        <w:rPr>
          <w:rFonts w:ascii="Times New Roman" w:hAnsi="Times New Roman" w:eastAsia="宋体"/>
          <w:b w:val="0"/>
          <w:sz w:val="24"/>
        </w:rPr>
        <w:t>1. 高水平基础创新成果资助范围及标准如下表所示，基础创新成果资助仅限于第一作者为研究生（导师为第二作者或通讯作者）或导师为第一作者（第二作者为研究生）。</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资助范围</w:t>
            </w:r>
          </w:p>
        </w:tc>
        <w:tc>
          <w:tcPr>
            <w:tcW w:type="dxa" w:w="2878"/>
          </w:tcPr>
          <w:p>
            <w:pPr>
              <w:spacing w:after="20" w:before="20"/>
            </w:pPr>
            <w:r/>
            <w:r>
              <w:rPr>
                <w:rFonts w:ascii="Times New Roman" w:hAnsi="Times New Roman" w:eastAsia="宋体"/>
                <w:b/>
                <w:sz w:val="21"/>
              </w:rPr>
              <w:t>资助权重值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Nature、Science、Cell 主刊全文发表学术论文</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Nature、Science、Cell 子刊全文发表学术论文 IF ≥15</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Nature、Science、Cell 子刊全文发表学术论文 10.0 ≤IF ＜15.0</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基本科学指标数据库热点/自然指数论文</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中科院1区 IF ≥12.0</w:t>
            </w:r>
          </w:p>
        </w:tc>
        <w:tc>
          <w:tcPr>
            <w:tcW w:type="dxa" w:w="2878"/>
          </w:tcPr>
          <w:p>
            <w:pPr>
              <w:spacing w:after="20" w:before="20"/>
            </w:pPr>
            <w:r/>
            <w:r>
              <w:rPr>
                <w:rFonts w:ascii="Times New Roman" w:hAnsi="Times New Roman" w:eastAsia="宋体"/>
                <w:b w:val="0"/>
                <w:sz w:val="21"/>
              </w:rPr>
              <w:t>0.8+IF*0.05</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中科院1区 8.0 ≤IF ＜12.0</w:t>
            </w:r>
          </w:p>
        </w:tc>
        <w:tc>
          <w:tcPr>
            <w:tcW w:type="dxa" w:w="2878"/>
          </w:tcPr>
          <w:p>
            <w:pPr>
              <w:spacing w:after="20" w:before="20"/>
            </w:pPr>
            <w:r/>
            <w:r>
              <w:rPr>
                <w:rFonts w:ascii="Times New Roman" w:hAnsi="Times New Roman" w:eastAsia="宋体"/>
                <w:b w:val="0"/>
                <w:sz w:val="21"/>
              </w:rPr>
              <w:t>0.6+IF*0.05</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中科院1区 IF ＜8.0</w:t>
            </w:r>
          </w:p>
        </w:tc>
        <w:tc>
          <w:tcPr>
            <w:tcW w:type="dxa" w:w="2878"/>
          </w:tcPr>
          <w:p>
            <w:pPr>
              <w:spacing w:after="20" w:before="20"/>
            </w:pPr>
            <w:r/>
            <w:r>
              <w:rPr>
                <w:rFonts w:ascii="Times New Roman" w:hAnsi="Times New Roman" w:eastAsia="宋体"/>
                <w:b w:val="0"/>
                <w:sz w:val="21"/>
              </w:rPr>
              <w:t>0.4+IF*0.05</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中科院2区</w:t>
            </w:r>
          </w:p>
        </w:tc>
        <w:tc>
          <w:tcPr>
            <w:tcW w:type="dxa" w:w="2878"/>
          </w:tcPr>
          <w:p>
            <w:pPr>
              <w:spacing w:after="20" w:before="20"/>
            </w:pPr>
            <w:r/>
            <w:r>
              <w:rPr>
                <w:rFonts w:ascii="Times New Roman" w:hAnsi="Times New Roman" w:eastAsia="宋体"/>
                <w:b w:val="0"/>
                <w:sz w:val="21"/>
              </w:rPr>
              <w:t>0.2+IF*0.05</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中科院3区</w:t>
            </w:r>
          </w:p>
        </w:tc>
        <w:tc>
          <w:tcPr>
            <w:tcW w:type="dxa" w:w="2878"/>
          </w:tcPr>
          <w:p>
            <w:pPr>
              <w:spacing w:after="20" w:before="20"/>
            </w:pPr>
            <w:r/>
            <w:r>
              <w:rPr>
                <w:rFonts w:ascii="Times New Roman" w:hAnsi="Times New Roman" w:eastAsia="宋体"/>
                <w:b w:val="0"/>
                <w:sz w:val="21"/>
              </w:rPr>
              <w:t>0.15</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工程索引（不含会议论文）</w:t>
            </w:r>
          </w:p>
        </w:tc>
        <w:tc>
          <w:tcPr>
            <w:tcW w:type="dxa" w:w="2878"/>
          </w:tcPr>
          <w:p>
            <w:pPr>
              <w:spacing w:after="20" w:before="20"/>
            </w:pPr>
            <w:r/>
            <w:r>
              <w:rPr>
                <w:rFonts w:ascii="Times New Roman" w:hAnsi="Times New Roman" w:eastAsia="宋体"/>
                <w:b w:val="0"/>
                <w:sz w:val="21"/>
              </w:rPr>
              <w:t>0.05</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社会科学引文索引</w:t>
            </w:r>
          </w:p>
        </w:tc>
        <w:tc>
          <w:tcPr>
            <w:tcW w:type="dxa" w:w="2878"/>
          </w:tcPr>
          <w:p>
            <w:pPr>
              <w:spacing w:after="20" w:before="20"/>
            </w:pPr>
            <w:r/>
            <w:r>
              <w:rPr>
                <w:rFonts w:ascii="Times New Roman" w:hAnsi="Times New Roman" w:eastAsia="宋体"/>
                <w:b w:val="0"/>
                <w:sz w:val="21"/>
              </w:rPr>
              <w:t>0.4</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《中国科学》、《中国社会科学》</w:t>
            </w:r>
          </w:p>
        </w:tc>
        <w:tc>
          <w:tcPr>
            <w:tcW w:type="dxa" w:w="2878"/>
          </w:tcPr>
          <w:p>
            <w:pPr>
              <w:spacing w:after="20" w:before="20"/>
            </w:pPr>
            <w:r/>
            <w:r>
              <w:rPr>
                <w:rFonts w:ascii="Times New Roman" w:hAnsi="Times New Roman" w:eastAsia="宋体"/>
                <w:b w:val="0"/>
                <w:sz w:val="21"/>
              </w:rPr>
              <w:t>0.4</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中文社会科学引文索引 主刊</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中文社会科学引文索引 扩展版</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艺术与人文科学引文索引</w:t>
            </w:r>
          </w:p>
        </w:tc>
        <w:tc>
          <w:tcPr>
            <w:tcW w:type="dxa" w:w="2878"/>
          </w:tcPr>
          <w:p>
            <w:pPr>
              <w:spacing w:after="20" w:before="20"/>
            </w:pPr>
            <w:r/>
            <w:r>
              <w:rPr>
                <w:rFonts w:ascii="Times New Roman" w:hAnsi="Times New Roman" w:eastAsia="宋体"/>
                <w:b w:val="0"/>
                <w:sz w:val="21"/>
              </w:rPr>
              <w:t>0.4</w:t>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《新华文摘》、《中国社会科学文摘》全文转载/摘登1/2以上</w:t>
            </w:r>
          </w:p>
        </w:tc>
        <w:tc>
          <w:tcPr>
            <w:tcW w:type="dxa" w:w="2878"/>
          </w:tcPr>
          <w:p>
            <w:pPr>
              <w:spacing w:after="20" w:before="20"/>
            </w:pPr>
            <w:r/>
            <w:r>
              <w:rPr>
                <w:rFonts w:ascii="Times New Roman" w:hAnsi="Times New Roman" w:eastAsia="宋体"/>
                <w:b w:val="0"/>
                <w:sz w:val="21"/>
              </w:rPr>
              <w:t>0.4/0.2</w:t>
            </w:r>
          </w:p>
        </w:tc>
      </w:tr>
      <w:tr>
        <w:tc>
          <w:tcPr>
            <w:tcW w:type="dxa" w:w="2878"/>
          </w:tcPr>
          <w:p>
            <w:pPr>
              <w:spacing w:after="20" w:before="20"/>
            </w:pPr>
            <w:r/>
            <w:r>
              <w:rPr>
                <w:rFonts w:ascii="Times New Roman" w:hAnsi="Times New Roman" w:eastAsia="宋体"/>
                <w:b w:val="0"/>
                <w:sz w:val="21"/>
              </w:rPr>
              <w:t>11</w:t>
            </w:r>
          </w:p>
        </w:tc>
        <w:tc>
          <w:tcPr>
            <w:tcW w:type="dxa" w:w="2878"/>
          </w:tcPr>
          <w:p>
            <w:pPr>
              <w:spacing w:after="20" w:before="20"/>
            </w:pPr>
            <w:r/>
            <w:r>
              <w:rPr>
                <w:rFonts w:ascii="Times New Roman" w:hAnsi="Times New Roman" w:eastAsia="宋体"/>
                <w:b w:val="0"/>
                <w:sz w:val="21"/>
              </w:rPr>
              <w:t>《人大复印资料》全文转载</w:t>
            </w:r>
          </w:p>
        </w:tc>
        <w:tc>
          <w:tcPr>
            <w:tcW w:type="dxa" w:w="2878"/>
          </w:tcPr>
          <w:p>
            <w:pPr>
              <w:spacing w:after="20" w:before="20"/>
            </w:pPr>
            <w:r/>
            <w:r>
              <w:rPr>
                <w:rFonts w:ascii="Times New Roman" w:hAnsi="Times New Roman" w:eastAsia="宋体"/>
                <w:b w:val="0"/>
                <w:sz w:val="21"/>
              </w:rPr>
              <w:t>0.3</w:t>
            </w:r>
          </w:p>
        </w:tc>
      </w:tr>
    </w:tbl>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①IF及分区情况根据成果获得当年中国科学院文献情报中心提供的JCR期刊分区数据在线平台www.fenqubiao.com界定，分区按照“就高不就低”原则执行。</w:t>
      </w:r>
    </w:p>
    <w:p>
      <w:pPr>
        <w:spacing w:after="80" w:lineRule="auto" w:line="360"/>
        <w:ind w:firstLine="482"/>
        <w:jc w:val="both"/>
      </w:pPr>
      <w:r>
        <w:rPr>
          <w:rFonts w:ascii="Times New Roman" w:hAnsi="Times New Roman" w:eastAsia="宋体"/>
          <w:b w:val="0"/>
          <w:sz w:val="24"/>
        </w:rPr>
        <w:t>②成果支撑材料以图书馆科技查新工作站出具的为准。</w:t>
      </w:r>
    </w:p>
    <w:p>
      <w:pPr>
        <w:spacing w:after="80" w:lineRule="auto" w:line="360"/>
        <w:ind w:firstLine="482"/>
        <w:jc w:val="both"/>
      </w:pPr>
      <w:r>
        <w:rPr>
          <w:rFonts w:ascii="Times New Roman" w:hAnsi="Times New Roman" w:eastAsia="宋体"/>
          <w:b w:val="0"/>
          <w:sz w:val="24"/>
        </w:rPr>
        <w:t>③中科院3区及工程索引论文只资助机电、电控、电智、经管、设艺、数学、文理、教育、马院。</w:t>
      </w:r>
    </w:p>
    <w:p>
      <w:pPr>
        <w:spacing w:after="80" w:lineRule="auto" w:line="360"/>
        <w:ind w:firstLine="482"/>
        <w:jc w:val="both"/>
      </w:pPr>
      <w:r>
        <w:rPr>
          <w:rFonts w:ascii="Times New Roman" w:hAnsi="Times New Roman" w:eastAsia="宋体"/>
          <w:b w:val="0"/>
          <w:sz w:val="24"/>
        </w:rPr>
        <w:t>④基本科学指标数据库热点论文以图书馆科技查新工作站出具的证明为准，自然指数论文以nature公司公布为准。</w:t>
      </w:r>
    </w:p>
    <w:p>
      <w:pPr>
        <w:spacing w:after="80" w:lineRule="auto" w:line="360"/>
        <w:ind w:firstLine="482"/>
        <w:jc w:val="both"/>
      </w:pPr>
      <w:r>
        <w:rPr>
          <w:rFonts w:ascii="Times New Roman" w:hAnsi="Times New Roman" w:eastAsia="宋体"/>
          <w:b w:val="0"/>
          <w:sz w:val="24"/>
        </w:rPr>
        <w:t>2. 国内外高价值发明专利资助标准如下表所示，专利资助仅限于第一发明人为研究生（导师为第二发明人）或导师为第一发明人（第二发明人为研究生），第一专利权人为陕西科技大学。</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专利类型</w:t>
            </w:r>
          </w:p>
        </w:tc>
        <w:tc>
          <w:tcPr>
            <w:tcW w:type="dxa" w:w="2878"/>
          </w:tcPr>
          <w:p>
            <w:pPr>
              <w:spacing w:after="20" w:before="20"/>
            </w:pPr>
            <w:r/>
            <w:r>
              <w:rPr>
                <w:rFonts w:ascii="Times New Roman" w:hAnsi="Times New Roman" w:eastAsia="宋体"/>
                <w:b/>
                <w:sz w:val="21"/>
              </w:rPr>
              <w:t>资助权重值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国际发明专利</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国内发明专利</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3. 对实际参与导师横向合作项目的专业学位研究生，根据项目经费本所登记的当年到位经费，对于单笔到位经费10万元以上，按照到位经费（万元）*0.02权重值进行资助，每个项目经费本的每笔到位经费只限资助1次。如多名研究生参与同一项目，由项目负责人根据研究生实际贡献度进行分配。资助基金由学校支出50%，指导教师的横向合作项目经费支出50%。在确定资助权重值后，一周内指导教师将由横向合作项目支出的50%资助基金发放相应学生，并以财务处完成流程的做帐单为依据，由学院统一提交研究生院，然后发放学校资助部分。</w:t>
      </w:r>
    </w:p>
    <w:p>
      <w:pPr>
        <w:spacing w:after="80" w:lineRule="auto" w:line="360"/>
        <w:ind w:firstLine="482"/>
        <w:jc w:val="both"/>
      </w:pPr>
      <w:r>
        <w:rPr>
          <w:rFonts w:ascii="Times New Roman" w:hAnsi="Times New Roman" w:eastAsia="宋体"/>
          <w:b w:val="0"/>
          <w:sz w:val="24"/>
        </w:rPr>
        <w:t>4. 获得陕西省优秀博士学位论文，资助权重值为1；获得陕西科技大学优秀博士学位论文，资助权重值为0.2。</w:t>
      </w:r>
    </w:p>
    <w:p>
      <w:pPr>
        <w:spacing w:after="80" w:lineRule="auto" w:line="360"/>
        <w:ind w:firstLine="482"/>
        <w:jc w:val="both"/>
      </w:pPr>
      <w:r>
        <w:rPr>
          <w:rFonts w:ascii="Times New Roman" w:hAnsi="Times New Roman" w:eastAsia="宋体"/>
          <w:b w:val="0"/>
          <w:sz w:val="24"/>
        </w:rPr>
        <w:t>5. 获得陕西省优秀硕士学位论文，资助权重值为0.5；获得陕西科技大学优秀硕士学位论文，资助权重值为0.1。</w:t>
      </w:r>
    </w:p>
    <w:p>
      <w:pPr>
        <w:spacing w:after="80" w:lineRule="auto" w:line="360"/>
        <w:ind w:firstLine="482"/>
        <w:jc w:val="both"/>
      </w:pPr>
      <w:r>
        <w:rPr>
          <w:rFonts w:ascii="Times New Roman" w:hAnsi="Times New Roman" w:eastAsia="宋体"/>
          <w:b w:val="0"/>
          <w:sz w:val="24"/>
        </w:rPr>
        <w:t>6. 重大科研成果贡献资助范围及标准如下表所示。重大科研成果中研究生不分排名，每项成果只限资助1次，如有多名研究生参与同一成果，由导师根据研究生实际贡献度进行分配。</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成果类别</w:t>
            </w:r>
          </w:p>
        </w:tc>
        <w:tc>
          <w:tcPr>
            <w:tcW w:type="dxa" w:w="2158"/>
          </w:tcPr>
          <w:p>
            <w:pPr>
              <w:spacing w:after="20" w:before="20"/>
            </w:pPr>
            <w:r/>
            <w:r>
              <w:rPr>
                <w:rFonts w:ascii="Times New Roman" w:hAnsi="Times New Roman" w:eastAsia="宋体"/>
                <w:b/>
                <w:sz w:val="21"/>
              </w:rPr>
              <w:t>研究类别</w:t>
            </w:r>
          </w:p>
        </w:tc>
        <w:tc>
          <w:tcPr>
            <w:tcW w:type="dxa" w:w="2158"/>
          </w:tcPr>
          <w:p>
            <w:pPr>
              <w:spacing w:after="20" w:before="20"/>
            </w:pPr>
            <w:r/>
            <w:r>
              <w:rPr>
                <w:rFonts w:ascii="Times New Roman" w:hAnsi="Times New Roman" w:eastAsia="宋体"/>
                <w:b/>
                <w:sz w:val="21"/>
              </w:rPr>
              <w:t>资助权重值</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自然科学类科研获奖</w:t>
            </w:r>
          </w:p>
        </w:tc>
        <w:tc>
          <w:tcPr>
            <w:tcW w:type="dxa" w:w="2158"/>
          </w:tcPr>
          <w:p>
            <w:pPr>
              <w:spacing w:after="20" w:before="20"/>
            </w:pPr>
            <w:r/>
            <w:r>
              <w:rPr>
                <w:rFonts w:ascii="Times New Roman" w:hAnsi="Times New Roman" w:eastAsia="宋体"/>
                <w:b w:val="0"/>
                <w:sz w:val="21"/>
              </w:rPr>
              <w:t>1.1 国家自然科学奖/技术发明奖/科技进步奖</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自然科学类科研获奖</w:t>
            </w:r>
          </w:p>
        </w:tc>
        <w:tc>
          <w:tcPr>
            <w:tcW w:type="dxa" w:w="2158"/>
          </w:tcPr>
          <w:p>
            <w:pPr>
              <w:spacing w:after="20" w:before="20"/>
            </w:pPr>
            <w:r/>
            <w:r>
              <w:rPr>
                <w:rFonts w:ascii="Times New Roman" w:hAnsi="Times New Roman" w:eastAsia="宋体"/>
                <w:b w:val="0"/>
                <w:sz w:val="21"/>
              </w:rPr>
              <w:t>1.2 省部级科学技术一等奖/二等奖/三等奖</w:t>
            </w:r>
          </w:p>
        </w:tc>
        <w:tc>
          <w:tcPr>
            <w:tcW w:type="dxa" w:w="2158"/>
          </w:tcPr>
          <w:p>
            <w:pPr>
              <w:spacing w:after="20" w:before="20"/>
            </w:pPr>
            <w:r/>
            <w:r>
              <w:rPr>
                <w:rFonts w:ascii="Times New Roman" w:hAnsi="Times New Roman" w:eastAsia="宋体"/>
                <w:b w:val="0"/>
                <w:sz w:val="21"/>
              </w:rPr>
              <w:t>1/0.8/0.2</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人文社科类科研获奖</w:t>
            </w:r>
          </w:p>
        </w:tc>
        <w:tc>
          <w:tcPr>
            <w:tcW w:type="dxa" w:w="2158"/>
          </w:tcPr>
          <w:p>
            <w:pPr>
              <w:spacing w:after="20" w:before="20"/>
            </w:pPr>
            <w:r/>
            <w:r>
              <w:rPr>
                <w:rFonts w:ascii="Times New Roman" w:hAnsi="Times New Roman" w:eastAsia="宋体"/>
                <w:b w:val="0"/>
                <w:sz w:val="21"/>
              </w:rPr>
              <w:t>2.1 教育部哲学社会科学/人文社会科学奖 一等奖/二等奖/三等奖</w:t>
            </w:r>
          </w:p>
        </w:tc>
        <w:tc>
          <w:tcPr>
            <w:tcW w:type="dxa" w:w="2158"/>
          </w:tcPr>
          <w:p>
            <w:pPr>
              <w:spacing w:after="20" w:before="20"/>
            </w:pPr>
            <w:r/>
            <w:r>
              <w:rPr>
                <w:rFonts w:ascii="Times New Roman" w:hAnsi="Times New Roman" w:eastAsia="宋体"/>
                <w:b w:val="0"/>
                <w:sz w:val="21"/>
              </w:rPr>
              <w:t>1/0.8/0.2</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人文社科类科研获奖</w:t>
            </w:r>
          </w:p>
        </w:tc>
        <w:tc>
          <w:tcPr>
            <w:tcW w:type="dxa" w:w="2158"/>
          </w:tcPr>
          <w:p>
            <w:pPr>
              <w:spacing w:after="20" w:before="20"/>
            </w:pPr>
            <w:r/>
            <w:r>
              <w:rPr>
                <w:rFonts w:ascii="Times New Roman" w:hAnsi="Times New Roman" w:eastAsia="宋体"/>
                <w:b w:val="0"/>
                <w:sz w:val="21"/>
              </w:rPr>
              <w:t>2.2 省级哲学社会科学/人文社会科学奖（著作类） 一等奖/二等奖/三等奖</w:t>
            </w:r>
          </w:p>
        </w:tc>
        <w:tc>
          <w:tcPr>
            <w:tcW w:type="dxa" w:w="2158"/>
          </w:tcPr>
          <w:p>
            <w:pPr>
              <w:spacing w:after="20" w:before="20"/>
            </w:pPr>
            <w:r/>
            <w:r>
              <w:rPr>
                <w:rFonts w:ascii="Times New Roman" w:hAnsi="Times New Roman" w:eastAsia="宋体"/>
                <w:b w:val="0"/>
                <w:sz w:val="21"/>
              </w:rPr>
              <w:t>0.8/0.5/0.2</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人文社科类科研获奖</w:t>
            </w:r>
          </w:p>
        </w:tc>
        <w:tc>
          <w:tcPr>
            <w:tcW w:type="dxa" w:w="2158"/>
          </w:tcPr>
          <w:p>
            <w:pPr>
              <w:spacing w:after="20" w:before="20"/>
            </w:pPr>
            <w:r/>
            <w:r>
              <w:rPr>
                <w:rFonts w:ascii="Times New Roman" w:hAnsi="Times New Roman" w:eastAsia="宋体"/>
                <w:b w:val="0"/>
                <w:sz w:val="21"/>
              </w:rPr>
              <w:t>2.3 省级哲学社会科学/人文社会科学奖（论文、调研报告类） 一等奖/二等奖/三等奖</w:t>
            </w:r>
          </w:p>
        </w:tc>
        <w:tc>
          <w:tcPr>
            <w:tcW w:type="dxa" w:w="2158"/>
          </w:tcPr>
          <w:p>
            <w:pPr>
              <w:spacing w:after="20" w:before="20"/>
            </w:pPr>
            <w:r/>
            <w:r>
              <w:rPr>
                <w:rFonts w:ascii="Times New Roman" w:hAnsi="Times New Roman" w:eastAsia="宋体"/>
                <w:b w:val="0"/>
                <w:sz w:val="21"/>
              </w:rPr>
              <w:t>0.5/0.2/0.1</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人文社科类科研获奖</w:t>
            </w:r>
          </w:p>
        </w:tc>
        <w:tc>
          <w:tcPr>
            <w:tcW w:type="dxa" w:w="2158"/>
          </w:tcPr>
          <w:p>
            <w:pPr>
              <w:spacing w:after="20" w:before="20"/>
            </w:pPr>
            <w:r/>
            <w:r>
              <w:rPr>
                <w:rFonts w:ascii="Times New Roman" w:hAnsi="Times New Roman" w:eastAsia="宋体"/>
                <w:b w:val="0"/>
                <w:sz w:val="21"/>
              </w:rPr>
              <w:t>2.4 艺术作品获全国美展/中国美术奖 金奖(一等奖）/银奖（二等奖）/铜奖（三等奖）/提名奖（优秀奖）</w:t>
            </w:r>
          </w:p>
        </w:tc>
        <w:tc>
          <w:tcPr>
            <w:tcW w:type="dxa" w:w="2158"/>
          </w:tcPr>
          <w:p>
            <w:pPr>
              <w:spacing w:after="20" w:before="20"/>
            </w:pPr>
            <w:r/>
            <w:r>
              <w:rPr>
                <w:rFonts w:ascii="Times New Roman" w:hAnsi="Times New Roman" w:eastAsia="宋体"/>
                <w:b w:val="0"/>
                <w:sz w:val="21"/>
              </w:rPr>
              <w:t>1/0.8/0.4/0.2</w:t>
            </w:r>
          </w:p>
        </w:tc>
      </w:tr>
    </w:tbl>
    <w:p>
      <w:pPr>
        <w:spacing w:before="160" w:after="80" w:lineRule="auto" w:line="360"/>
        <w:jc w:val="left"/>
      </w:pPr>
      <w:r>
        <w:rPr>
          <w:rFonts w:ascii="Times New Roman" w:hAnsi="Times New Roman" w:eastAsia="宋体"/>
          <w:b/>
          <w:sz w:val="28"/>
        </w:rPr>
        <w:t>三、受理与审批</w:t>
      </w:r>
    </w:p>
    <w:p>
      <w:pPr>
        <w:spacing w:after="80" w:lineRule="auto" w:line="360"/>
        <w:ind w:firstLine="482"/>
        <w:jc w:val="both"/>
      </w:pPr>
      <w:r>
        <w:rPr>
          <w:rFonts w:ascii="Times New Roman" w:hAnsi="Times New Roman" w:eastAsia="宋体"/>
          <w:b w:val="0"/>
          <w:sz w:val="24"/>
        </w:rPr>
        <w:t>1. 申请人填写《陕西科技大学研究生科研创新成果登记表》并附相关证明材料，经学院初审签字盖章后，经研究生院审核并报主管校长批准，根据权重值发放。</w:t>
      </w:r>
    </w:p>
    <w:p>
      <w:pPr>
        <w:spacing w:after="80" w:lineRule="auto" w:line="360"/>
        <w:ind w:firstLine="482"/>
        <w:jc w:val="both"/>
      </w:pPr>
      <w:r>
        <w:rPr>
          <w:rFonts w:ascii="Times New Roman" w:hAnsi="Times New Roman" w:eastAsia="宋体"/>
          <w:b w:val="0"/>
          <w:sz w:val="24"/>
        </w:rPr>
        <w:t>2. 研究生科研创新贡献资助成果申请每年5月份集中受理一次。</w:t>
      </w:r>
    </w:p>
    <w:p>
      <w:pPr>
        <w:spacing w:after="80" w:lineRule="auto" w:line="360"/>
        <w:ind w:firstLine="482"/>
        <w:jc w:val="both"/>
      </w:pPr>
      <w:r>
        <w:rPr>
          <w:rFonts w:ascii="Times New Roman" w:hAnsi="Times New Roman" w:eastAsia="宋体"/>
          <w:b w:val="0"/>
          <w:sz w:val="24"/>
        </w:rPr>
        <w:t>3. 研究生在学期间因时间等因素未申请的符合本办法的成果，从提交毕业论文起一年内仍可申请。</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1. 同一成果在符合多项资助标准时，资助权重值按照“就高不就低”原则执行，不重复计算。已用于学业奖学金、国家奖学金等奖励申请的成果，本资助办法不再受理申报。</w:t>
      </w:r>
    </w:p>
    <w:p>
      <w:pPr>
        <w:spacing w:after="80" w:lineRule="auto" w:line="360"/>
        <w:ind w:firstLine="482"/>
        <w:jc w:val="both"/>
      </w:pPr>
      <w:r>
        <w:rPr>
          <w:rFonts w:ascii="Times New Roman" w:hAnsi="Times New Roman" w:eastAsia="宋体"/>
          <w:b w:val="0"/>
          <w:sz w:val="24"/>
        </w:rPr>
        <w:t>2. 申请资助的必须是已获得的科研成果（如专利证书等）。</w:t>
      </w:r>
    </w:p>
    <w:p>
      <w:pPr>
        <w:spacing w:after="80" w:lineRule="auto" w:line="360"/>
        <w:ind w:firstLine="482"/>
        <w:jc w:val="both"/>
      </w:pPr>
      <w:r>
        <w:rPr>
          <w:rFonts w:ascii="Times New Roman" w:hAnsi="Times New Roman" w:eastAsia="宋体"/>
          <w:b w:val="0"/>
          <w:sz w:val="24"/>
        </w:rPr>
        <w:t>3. 本资助办法中的权重值以万元为单位。</w:t>
      </w:r>
    </w:p>
    <w:p>
      <w:pPr>
        <w:spacing w:after="80" w:lineRule="auto" w:line="360"/>
        <w:ind w:firstLine="482"/>
        <w:jc w:val="both"/>
      </w:pPr>
      <w:r>
        <w:rPr>
          <w:rFonts w:ascii="Times New Roman" w:hAnsi="Times New Roman" w:eastAsia="宋体"/>
          <w:b w:val="0"/>
          <w:sz w:val="24"/>
        </w:rPr>
        <w:t>4. 在申报过程中如发现弄虚作假者，取消当事人所有成果的申请资格。已发放资助者，将追回所发资助，并根据《陕西科技大学研究生学术道德规范及实施办法》给予相应处理。其中，在参与导师产学研合作项目的资助中经导师签字后，发现弄虚作假者，除对研究生进行相应处理外，还将给予导师停止下一年度招生资格的处理。</w:t>
      </w:r>
    </w:p>
    <w:p>
      <w:pPr>
        <w:spacing w:after="80" w:lineRule="auto" w:line="360"/>
        <w:ind w:firstLine="482"/>
        <w:jc w:val="both"/>
      </w:pPr>
      <w:r>
        <w:rPr>
          <w:rFonts w:ascii="Times New Roman" w:hAnsi="Times New Roman" w:eastAsia="宋体"/>
          <w:b w:val="0"/>
          <w:sz w:val="24"/>
        </w:rPr>
        <w:t>5. 本办法中所提及的导师包含第一导师和第二导师。</w:t>
      </w:r>
    </w:p>
    <w:p>
      <w:pPr>
        <w:spacing w:after="80" w:lineRule="auto" w:line="360"/>
        <w:ind w:firstLine="482"/>
        <w:jc w:val="both"/>
      </w:pPr>
      <w:r>
        <w:rPr>
          <w:rFonts w:ascii="Times New Roman" w:hAnsi="Times New Roman" w:eastAsia="宋体"/>
          <w:b w:val="0"/>
          <w:sz w:val="24"/>
        </w:rPr>
        <w:t>6. 本办法自2022年1月1日开始实施，原《陕西科技大学“双一流”建设研究生科研创新成果贡献激励办法（试行）》（陕科大校[2021]24号附件5）自本办法执行之日起废止，由研究生院（党委研究生工作部）负责解释。</w:t>
      </w:r>
    </w:p>
    <w:p>
      <w:pPr>
        <w:spacing w:after="80" w:lineRule="auto" w:line="360"/>
        <w:ind w:firstLine="482"/>
        <w:jc w:val="both"/>
      </w:pPr>
      <w:r>
        <w:rPr>
          <w:rFonts w:ascii="Times New Roman" w:hAnsi="Times New Roman" w:eastAsia="宋体"/>
          <w:b w:val="0"/>
          <w:sz w:val="24"/>
        </w:rPr>
        <w:t>陕西科技大学校长办公室</w:t>
      </w:r>
    </w:p>
    <w:p>
      <w:pPr>
        <w:spacing w:after="80" w:lineRule="auto" w:line="360"/>
        <w:ind w:firstLine="482"/>
        <w:jc w:val="both"/>
      </w:pPr>
      <w:r>
        <w:rPr>
          <w:rFonts w:ascii="Times New Roman" w:hAnsi="Times New Roman" w:eastAsia="宋体"/>
          <w:b w:val="0"/>
          <w:sz w:val="24"/>
        </w:rPr>
        <w:t>2022年4月7日印发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