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line="360" w:lineRule="auto"/>
        <w:ind w:firstLine="482"/>
        <w:jc w:val="both"/>
      </w:pPr>
      <w:r>
        <w:rPr>
          <w:rFonts w:ascii="Times New Roman" w:hAnsi="Times New Roman" w:eastAsia="宋体"/>
          <w:sz w:val="24"/>
        </w:rPr>
        <w:t>吉林大学电子科学与工程学院2026年推荐优秀应届本科毕业生免试攻读研究生工作细则</w:t>
      </w:r>
    </w:p>
    <w:p>
      <w:pPr>
        <w:spacing w:after="80" w:line="360" w:lineRule="auto"/>
        <w:ind w:firstLine="482"/>
        <w:jc w:val="both"/>
      </w:pPr>
      <w:r>
        <w:rPr>
          <w:rFonts w:ascii="Times New Roman" w:hAnsi="Times New Roman" w:eastAsia="宋体"/>
          <w:sz w:val="24"/>
        </w:rPr>
        <w:t>吉林大学电子科学与工程学院</w:t>
      </w:r>
    </w:p>
    <w:p>
      <w:pPr>
        <w:spacing w:after="80" w:line="360" w:lineRule="auto"/>
        <w:ind w:firstLine="482"/>
        <w:jc w:val="both"/>
      </w:pPr>
      <w:r>
        <w:rPr>
          <w:rFonts w:ascii="Times New Roman" w:hAnsi="Times New Roman" w:eastAsia="宋体"/>
          <w:sz w:val="24"/>
        </w:rPr>
        <w:t>2026年推荐优秀应届本科毕业生免试攻读研究生工作细则</w:t>
      </w:r>
    </w:p>
    <w:p>
      <w:pPr>
        <w:spacing w:after="80" w:line="360" w:lineRule="auto"/>
        <w:ind w:firstLine="482"/>
        <w:jc w:val="both"/>
      </w:pPr>
      <w:r>
        <w:rPr>
          <w:rFonts w:ascii="Times New Roman" w:hAnsi="Times New Roman" w:eastAsia="宋体"/>
          <w:sz w:val="24"/>
        </w:rPr>
        <w:t>根据《吉林大学推荐优秀应届本科毕业生免试攻读研究生工作管理办法》（校发〔2022〕59号）和本科生院发布的《关于开展2026年推荐优秀应届本科毕业生免试攻读研究生学业成绩核对和综合排名工作的通知》的有关规定和相关要求，结合电子科学与工程学院（以下简称学院）的实际情况，现将学院2026年推荐优秀应届本科毕业生免试攻读研究生（以下简称推免生）工作细则公布如下：</w:t>
      </w:r>
    </w:p>
    <w:p>
      <w:pPr>
        <w:spacing w:after="80" w:line="360" w:lineRule="auto"/>
        <w:ind w:firstLine="482"/>
        <w:jc w:val="both"/>
      </w:pPr>
      <w:r>
        <w:rPr>
          <w:rFonts w:ascii="Times New Roman" w:hAnsi="Times New Roman" w:eastAsia="宋体"/>
          <w:sz w:val="24"/>
        </w:rPr>
        <w:t>1. 只有满足吉林大学关于推免生的推荐条件的学生才具有推免生资格。</w:t>
      </w:r>
    </w:p>
    <w:p>
      <w:pPr>
        <w:spacing w:after="80" w:line="360" w:lineRule="auto"/>
        <w:ind w:firstLine="482"/>
        <w:jc w:val="both"/>
      </w:pPr>
      <w:r>
        <w:rPr>
          <w:rFonts w:ascii="Times New Roman" w:hAnsi="Times New Roman" w:eastAsia="宋体"/>
          <w:sz w:val="24"/>
        </w:rPr>
        <w:t>2. 推免生的成绩是由学院前三学年《培养方案》要求开设的全部必修课程和限选课程（含实践教学环节）的考核成绩和素质类项目（包括学生在校期间取得科研成果、参加竞赛获奖、参军入伍服兵役、参加志愿服务、到国际组织实习情况）加分成绩构成。要求全部必修课程和限选课程（含实践教学环节）的考核成绩必须通过，且满足以下要求：</w:t>
      </w:r>
    </w:p>
    <w:p>
      <w:pPr>
        <w:spacing w:after="80" w:line="360" w:lineRule="auto"/>
        <w:ind w:firstLine="482"/>
        <w:jc w:val="both"/>
      </w:pPr>
      <w:r>
        <w:rPr>
          <w:rFonts w:ascii="Times New Roman" w:hAnsi="Times New Roman" w:eastAsia="宋体"/>
          <w:sz w:val="24"/>
        </w:rPr>
        <w:t>（1）申请普通推荐（包括直博生）、“专项推免补偿计划”推荐的学生，要求平均学分绩点（GPA）2.5及以上；申请“研究生支教团”推荐的学生，要求平均学分绩点（GPA）2.3及以上。</w:t>
      </w:r>
    </w:p>
    <w:p>
      <w:pPr>
        <w:spacing w:after="80" w:line="360" w:lineRule="auto"/>
        <w:ind w:firstLine="482"/>
        <w:jc w:val="both"/>
      </w:pPr>
      <w:r>
        <w:rPr>
          <w:rFonts w:ascii="Times New Roman" w:hAnsi="Times New Roman" w:eastAsia="宋体"/>
          <w:sz w:val="24"/>
        </w:rPr>
        <w:t>（2）申请普通推荐、“专项推免补偿计划”推荐的学生，允许曾有1门必修课程或限选课程不及格，但必须在当年推免工作开始前重修通过。</w:t>
      </w:r>
    </w:p>
    <w:p>
      <w:pPr>
        <w:spacing w:after="80" w:line="360" w:lineRule="auto"/>
        <w:ind w:firstLine="482"/>
        <w:jc w:val="both"/>
      </w:pPr>
      <w:r>
        <w:rPr>
          <w:rFonts w:ascii="Times New Roman" w:hAnsi="Times New Roman" w:eastAsia="宋体"/>
          <w:sz w:val="24"/>
        </w:rPr>
        <w:t>申请“研究生支教团”推荐的学生，允许曾有2门必修课程或限选课程不及格，但必须在当年推免工作开始前重修通过。</w:t>
      </w:r>
    </w:p>
    <w:p>
      <w:pPr>
        <w:spacing w:after="80" w:line="360" w:lineRule="auto"/>
        <w:ind w:firstLine="482"/>
        <w:jc w:val="both"/>
      </w:pPr>
      <w:r>
        <w:rPr>
          <w:rFonts w:ascii="Times New Roman" w:hAnsi="Times New Roman" w:eastAsia="宋体"/>
          <w:sz w:val="24"/>
        </w:rPr>
        <w:t>（3）成绩排名以第一次考试成绩为准，重修、加分的成绩不参与排名计算。经本科生院批准的缓考、补考成绩，按第一次考试成绩计算排名。</w:t>
      </w:r>
    </w:p>
    <w:p>
      <w:pPr>
        <w:spacing w:after="80" w:line="360" w:lineRule="auto"/>
        <w:ind w:firstLine="482"/>
        <w:jc w:val="both"/>
      </w:pPr>
      <w:r>
        <w:rPr>
          <w:rFonts w:ascii="Times New Roman" w:hAnsi="Times New Roman" w:eastAsia="宋体"/>
          <w:sz w:val="24"/>
        </w:rPr>
        <w:t>（4）校际交流学生的推免成绩必须经本科生院进行相应学分认定，且应不少于《培养方案》要求的全部必修课程和限选课程总学分的95%，其课程门数按实际修读课程门数计算。</w:t>
      </w:r>
    </w:p>
    <w:p>
      <w:pPr>
        <w:spacing w:after="80" w:line="360" w:lineRule="auto"/>
        <w:ind w:firstLine="482"/>
        <w:jc w:val="both"/>
      </w:pPr>
      <w:r>
        <w:rPr>
          <w:rFonts w:ascii="Times New Roman" w:hAnsi="Times New Roman" w:eastAsia="宋体"/>
          <w:sz w:val="24"/>
        </w:rPr>
        <w:t>（5）具备良好的外语能力和水平，校内必修外语课程考试平均成绩达到75分及以上或全国大学外语四级考试成绩在425分及以上（或托福80分及以上、雅思6.0及以上、日语N2及以上、俄语ТРКИ-2及以上）。</w:t>
      </w:r>
    </w:p>
    <w:p>
      <w:pPr>
        <w:spacing w:after="80" w:line="360" w:lineRule="auto"/>
        <w:ind w:firstLine="482"/>
        <w:jc w:val="both"/>
      </w:pPr>
      <w:r>
        <w:rPr>
          <w:rFonts w:ascii="Times New Roman" w:hAnsi="Times New Roman" w:eastAsia="宋体"/>
          <w:sz w:val="24"/>
        </w:rPr>
        <w:t>3. 综合排名成绩由学业成绩和素质类项目加分成绩组成。学业成绩是指《培养方案》要求的前三学年开设的全部必修课程和限选课程（含实践教学环节）的平均学分绩点（GPA），大学英语课程中仅英语III、IV计入综合排名，军事教育、体育不计入综合排名。素质类项目加分成绩按照学院制定、本科生院审定的加分标准对申请推免资格学生的素质项目进行审核鉴定后确认加分分值（折算成GPA），具体加分标准详见附件1。学院所有应届毕业学生均须参加本专业的综合排名，综合排名相同的学生，按学业成绩高低排名。计算综合排名后，在学院官方网站公示7日。</w:t>
      </w:r>
    </w:p>
    <w:p>
      <w:pPr>
        <w:spacing w:after="80" w:line="360" w:lineRule="auto"/>
        <w:ind w:firstLine="482"/>
        <w:jc w:val="both"/>
      </w:pPr>
      <w:r>
        <w:rPr>
          <w:rFonts w:ascii="Times New Roman" w:hAnsi="Times New Roman" w:eastAsia="宋体"/>
          <w:sz w:val="24"/>
        </w:rPr>
        <w:t>4. 综合排名时如有不能被推荐（如违纪处分未被解除、自愿放弃等）的学生，学院不得将这部分学生剔除后重新排名，不得将未进入推荐范围的学生递补入围。</w:t>
      </w:r>
    </w:p>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jc w:val="center"/>
            </w:pPr>
            <w:r>
              <w:rPr>
                <w:rFonts w:ascii="Times New Roman" w:hAnsi="Times New Roman" w:eastAsia="宋体"/>
                <w:sz w:val="21"/>
              </w:rPr>
              <w:t>5.</w:t>
            </w:r>
          </w:p>
        </w:tc>
        <w:tc>
          <w:tcPr>
            <w:tcW w:type="dxa" w:w="2878"/>
          </w:tcPr>
          <w:p>
            <w:pPr>
              <w:jc w:val="center"/>
            </w:pPr>
            <w:r>
              <w:rPr>
                <w:rFonts w:ascii="Times New Roman" w:hAnsi="Times New Roman" w:eastAsia="宋体"/>
                <w:sz w:val="21"/>
              </w:rPr>
              <w:t>普通推荐的学生综合排名成绩以本专业前25%的学生的最低学业成绩为选拔线，在计算素质类项目加分后，推免成绩达到选拔线及以上的学生具备推免资格；</w:t>
            </w:r>
          </w:p>
        </w:tc>
        <w:tc>
          <w:tcPr>
            <w:tcW w:type="dxa" w:w="2878"/>
          </w:tcPr>
          <w:p>
            <w:pPr>
              <w:jc w:val="center"/>
            </w:pPr>
            <w:r>
              <w:rPr>
                <w:rFonts w:ascii="Times New Roman" w:hAnsi="Times New Roman" w:eastAsia="宋体"/>
                <w:sz w:val="21"/>
              </w:rPr>
              <w:t>“研究生支教团”推荐、“专项推免补偿计划”推荐的学生综合排名要求与普通推荐的排名要求相同。</w:t>
            </w:r>
          </w:p>
        </w:tc>
      </w:tr>
      <w:tr>
        <w:tc>
          <w:tcPr>
            <w:tcW w:type="dxa" w:w="2878"/>
          </w:tcPr>
          <w:p>
            <w:pPr>
              <w:jc w:val="center"/>
            </w:pPr>
            <w:r>
              <w:rPr>
                <w:rFonts w:ascii="Times New Roman" w:hAnsi="Times New Roman" w:eastAsia="宋体"/>
                <w:sz w:val="21"/>
              </w:rPr>
              <w:t>6. 符合申请条件的学生应在规定的时间内向学院提出申请，提交相关证明材料，学生只能申报普通推荐</w:t>
            </w:r>
          </w:p>
        </w:tc>
        <w:tc>
          <w:tcPr>
            <w:tcW w:type="dxa" w:w="2878"/>
          </w:tcPr>
          <w:p>
            <w:pPr>
              <w:jc w:val="center"/>
            </w:pPr>
            <w:r>
              <w:rPr>
                <w:rFonts w:ascii="Times New Roman" w:hAnsi="Times New Roman" w:eastAsia="宋体"/>
                <w:sz w:val="21"/>
              </w:rPr>
              <w:t>“研究生支教团”推荐</w:t>
            </w:r>
          </w:p>
        </w:tc>
        <w:tc>
          <w:tcPr>
            <w:tcW w:type="dxa" w:w="2878"/>
          </w:tcPr>
          <w:p>
            <w:pPr>
              <w:jc w:val="center"/>
            </w:pPr>
            <w:r>
              <w:rPr>
                <w:rFonts w:ascii="Times New Roman" w:hAnsi="Times New Roman" w:eastAsia="宋体"/>
                <w:sz w:val="21"/>
              </w:rPr>
              <w:t>“专项推免补偿计划”推荐其中一项，不可兼报。</w:t>
            </w:r>
          </w:p>
        </w:tc>
      </w:tr>
      <w:tr>
        <w:tc>
          <w:tcPr>
            <w:tcW w:type="dxa" w:w="2878"/>
          </w:tcPr>
          <w:p>
            <w:pPr>
              <w:jc w:val="center"/>
            </w:pPr>
            <w:r>
              <w:rPr>
                <w:rFonts w:ascii="Times New Roman" w:hAnsi="Times New Roman" w:eastAsia="宋体"/>
                <w:sz w:val="21"/>
              </w:rPr>
              <w:t>7.</w:t>
            </w:r>
          </w:p>
        </w:tc>
        <w:tc>
          <w:tcPr>
            <w:tcW w:type="dxa" w:w="2878"/>
          </w:tcPr>
          <w:p>
            <w:pPr>
              <w:jc w:val="center"/>
            </w:pPr>
            <w:r>
              <w:rPr>
                <w:rFonts w:ascii="Times New Roman" w:hAnsi="Times New Roman" w:eastAsia="宋体"/>
                <w:sz w:val="21"/>
              </w:rPr>
              <w:t>学院按照专业分配推免生名额。每个专业按照申报推免生的学生的综合排名顺序择优推荐。</w:t>
            </w:r>
          </w:p>
        </w:tc>
        <w:tc>
          <w:tcPr>
            <w:tcW w:type="dxa" w:w="2878"/>
          </w:tcPr>
          <w:p>
            <w:pPr>
              <w:jc w:val="center"/>
            </w:pPr>
            <w:r>
              <w:rPr>
                <w:rFonts w:ascii="Times New Roman" w:hAnsi="Times New Roman" w:eastAsia="宋体"/>
                <w:sz w:val="21"/>
              </w:rPr>
            </w:r>
          </w:p>
        </w:tc>
      </w:tr>
      <w:tr>
        <w:tc>
          <w:tcPr>
            <w:tcW w:type="dxa" w:w="2878"/>
          </w:tcPr>
          <w:p>
            <w:pPr>
              <w:jc w:val="center"/>
            </w:pPr>
            <w:r>
              <w:rPr>
                <w:rFonts w:ascii="Times New Roman" w:hAnsi="Times New Roman" w:eastAsia="宋体"/>
                <w:sz w:val="21"/>
              </w:rPr>
              <w:t>8. 学校分配给学院的所有推免生名额中，重点学科（或一流学科）名额</w:t>
            </w:r>
          </w:p>
        </w:tc>
        <w:tc>
          <w:tcPr>
            <w:tcW w:type="dxa" w:w="2878"/>
          </w:tcPr>
          <w:p>
            <w:pPr>
              <w:jc w:val="center"/>
            </w:pPr>
            <w:r>
              <w:rPr>
                <w:rFonts w:ascii="Times New Roman" w:hAnsi="Times New Roman" w:eastAsia="宋体"/>
                <w:sz w:val="21"/>
              </w:rPr>
              <w:t>重点实验室名额</w:t>
            </w:r>
          </w:p>
        </w:tc>
        <w:tc>
          <w:tcPr>
            <w:tcW w:type="dxa" w:w="2878"/>
          </w:tcPr>
          <w:p>
            <w:pPr>
              <w:jc w:val="center"/>
            </w:pPr>
            <w:r>
              <w:rPr>
                <w:rFonts w:ascii="Times New Roman" w:hAnsi="Times New Roman" w:eastAsia="宋体"/>
                <w:sz w:val="21"/>
              </w:rPr>
              <w:t>“直博生”名额</w:t>
            </w:r>
          </w:p>
        </w:tc>
      </w:tr>
      <w:tr>
        <w:tc>
          <w:tcPr>
            <w:tcW w:type="dxa" w:w="2878"/>
          </w:tcPr>
          <w:p>
            <w:pPr>
              <w:jc w:val="center"/>
            </w:pPr>
            <w:r>
              <w:rPr>
                <w:rFonts w:ascii="Times New Roman" w:hAnsi="Times New Roman" w:eastAsia="宋体"/>
                <w:sz w:val="21"/>
              </w:rPr>
              <w:t>某专业的分配名额</w:t>
            </w:r>
          </w:p>
        </w:tc>
        <w:tc>
          <w:tcPr>
            <w:tcW w:type="dxa" w:w="2878"/>
          </w:tcPr>
          <w:p>
            <w:pPr>
              <w:jc w:val="center"/>
            </w:pPr>
            <w:r>
              <w:rPr>
                <w:rFonts w:ascii="Times New Roman" w:hAnsi="Times New Roman" w:eastAsia="宋体"/>
                <w:sz w:val="21"/>
              </w:rPr>
              <w:t>=（总名额</w:t>
            </w:r>
          </w:p>
        </w:tc>
        <w:tc>
          <w:tcPr>
            <w:tcW w:type="dxa" w:w="2878"/>
          </w:tcPr>
          <w:p>
            <w:pPr>
              <w:jc w:val="center"/>
            </w:pPr>
            <w:r>
              <w:rPr>
                <w:rFonts w:ascii="Times New Roman" w:hAnsi="Times New Roman" w:eastAsia="宋体"/>
                <w:sz w:val="21"/>
              </w:rPr>
              <w:t>－</w:t>
            </w:r>
          </w:p>
        </w:tc>
      </w:tr>
    </w:tbl>
    <w:p/>
    <w:p>
      <w:pPr>
        <w:spacing w:after="80" w:line="360" w:lineRule="auto"/>
        <w:ind w:firstLine="482"/>
        <w:jc w:val="both"/>
      </w:pPr>
      <w:r>
        <w:rPr>
          <w:rFonts w:ascii="Times New Roman" w:hAnsi="Times New Roman" w:eastAsia="宋体"/>
          <w:sz w:val="24"/>
        </w:rPr>
        <w:t>*注：上述专业人数是指学院应届本科毕业生实时的各专业人数。</w:t>
      </w:r>
    </w:p>
    <w:p>
      <w:pPr>
        <w:spacing w:after="80" w:line="360" w:lineRule="auto"/>
        <w:ind w:firstLine="482"/>
        <w:jc w:val="both"/>
      </w:pPr>
      <w:r>
        <w:rPr>
          <w:rFonts w:ascii="Times New Roman" w:hAnsi="Times New Roman" w:eastAsia="宋体"/>
          <w:sz w:val="24"/>
        </w:rPr>
        <w:t>9. 学院按照各专业除直博生名额之外的推免名额的150%确定考核人选，并组织专家对考核人选进行考核。经过考核后如果有剩余名额，将把剩余名额交还学校。</w:t>
      </w:r>
    </w:p>
    <w:p>
      <w:pPr>
        <w:spacing w:after="80" w:line="360" w:lineRule="auto"/>
        <w:ind w:firstLine="482"/>
        <w:jc w:val="both"/>
      </w:pPr>
      <w:r>
        <w:rPr>
          <w:rFonts w:ascii="Times New Roman" w:hAnsi="Times New Roman" w:eastAsia="宋体"/>
          <w:sz w:val="24"/>
        </w:rPr>
        <w:t>10. 为了一流学科建设，学院将向学校争取更多推免生名额，学院额外争取到的推免生名额将由学院统筹分配。</w:t>
      </w:r>
    </w:p>
    <w:p>
      <w:pPr>
        <w:spacing w:after="80" w:line="360" w:lineRule="auto"/>
        <w:ind w:firstLine="482"/>
        <w:jc w:val="both"/>
      </w:pPr>
      <w:r>
        <w:rPr>
          <w:rFonts w:ascii="Times New Roman" w:hAnsi="Times New Roman" w:eastAsia="宋体"/>
          <w:sz w:val="24"/>
        </w:rPr>
        <w:t>11. 学院已经成立了2026年优秀应届本科毕业生免试攻读研究生工作领导小组（以下简称“工作领导小组”）和监督小组（详见附件2）。工作领导小组负责学院推免工作实施细则的制定和组织实施。监督小组负责监督学院推免工作程序，受理学院推免工作中的异议和申诉。</w:t>
      </w:r>
    </w:p>
    <w:p>
      <w:pPr>
        <w:spacing w:after="80" w:line="360" w:lineRule="auto"/>
        <w:ind w:firstLine="482"/>
        <w:jc w:val="both"/>
      </w:pPr>
      <w:r>
        <w:rPr>
          <w:rFonts w:ascii="Times New Roman" w:hAnsi="Times New Roman" w:eastAsia="宋体"/>
          <w:sz w:val="24"/>
        </w:rPr>
        <w:t>12. 本细则由工作领导小组制定实施，并负责解释。其它未尽事宜将由工作领导小组讨论解决。</w:t>
      </w:r>
    </w:p>
    <w:p>
      <w:pPr>
        <w:spacing w:after="80" w:line="360" w:lineRule="auto"/>
        <w:ind w:firstLine="482"/>
        <w:jc w:val="both"/>
      </w:pPr>
      <w:r>
        <w:rPr>
          <w:rFonts w:ascii="Times New Roman" w:hAnsi="Times New Roman" w:eastAsia="宋体"/>
          <w:sz w:val="24"/>
        </w:rPr>
        <w:t>吉林大学电子科学与工程学院</w:t>
      </w:r>
    </w:p>
    <w:p>
      <w:pPr>
        <w:spacing w:after="80" w:line="360" w:lineRule="auto"/>
        <w:ind w:firstLine="482"/>
        <w:jc w:val="both"/>
      </w:pPr>
      <w:r>
        <w:rPr>
          <w:rFonts w:ascii="Times New Roman" w:hAnsi="Times New Roman" w:eastAsia="宋体"/>
          <w:sz w:val="24"/>
        </w:rPr>
        <w:t>2025年8月25日</w:t>
      </w:r>
    </w:p>
    <w:p>
      <w:pPr>
        <w:spacing w:after="80" w:line="360" w:lineRule="auto"/>
        <w:ind w:firstLine="482"/>
        <w:jc w:val="both"/>
      </w:pPr>
      <w:r>
        <w:rPr>
          <w:rFonts w:ascii="Times New Roman" w:hAnsi="Times New Roman" w:eastAsia="宋体"/>
          <w:sz w:val="24"/>
        </w:rPr>
        <w:t>附件1：</w:t>
      </w:r>
    </w:p>
    <w:p>
      <w:pPr>
        <w:spacing w:after="80" w:line="360" w:lineRule="auto"/>
        <w:ind w:firstLine="482"/>
        <w:jc w:val="both"/>
      </w:pPr>
      <w:r>
        <w:rPr>
          <w:rFonts w:ascii="Times New Roman" w:hAnsi="Times New Roman" w:eastAsia="宋体"/>
          <w:sz w:val="24"/>
        </w:rPr>
        <w:t>电子科学与工程学院推荐2026年优秀应届本科毕业生</w:t>
      </w:r>
    </w:p>
    <w:p>
      <w:pPr>
        <w:spacing w:after="80" w:line="360" w:lineRule="auto"/>
        <w:ind w:firstLine="482"/>
        <w:jc w:val="both"/>
      </w:pPr>
      <w:r>
        <w:rPr>
          <w:rFonts w:ascii="Times New Roman" w:hAnsi="Times New Roman" w:eastAsia="宋体"/>
          <w:sz w:val="24"/>
        </w:rPr>
        <w:t>免试攻读研究生素质类项目加分标准</w:t>
      </w:r>
    </w:p>
    <w:p>
      <w:pPr>
        <w:spacing w:before="160" w:after="80" w:line="360" w:lineRule="auto"/>
      </w:pPr>
      <w:r>
        <w:rPr>
          <w:rFonts w:ascii="Times New Roman" w:hAnsi="Times New Roman" w:eastAsia="宋体"/>
          <w:b/>
          <w:sz w:val="28"/>
        </w:rPr>
        <w:t>一、 加分原则：</w:t>
      </w:r>
    </w:p>
    <w:p>
      <w:pPr>
        <w:spacing w:after="80" w:line="360" w:lineRule="auto"/>
        <w:ind w:firstLine="482"/>
        <w:jc w:val="both"/>
      </w:pPr>
      <w:r>
        <w:rPr>
          <w:rFonts w:ascii="Times New Roman" w:hAnsi="Times New Roman" w:eastAsia="宋体"/>
          <w:sz w:val="24"/>
        </w:rPr>
        <w:t>1.素质类项目加分包括科研成果、竞赛获奖、入伍服兵役、志愿服务、国际组织实习五个类别。同类成果中不累计加分，取代表作的最高加分计入推免综合成绩；五大类别间的加分允许累加，某名同学最终计入综合排名的素质类加分成绩的GPA不超过0.4；加分后综合排名相同的学生，按学业成绩高低排名。</w:t>
      </w:r>
    </w:p>
    <w:p>
      <w:pPr>
        <w:spacing w:after="80" w:line="360" w:lineRule="auto"/>
        <w:ind w:firstLine="482"/>
        <w:jc w:val="both"/>
      </w:pPr>
      <w:r>
        <w:rPr>
          <w:rFonts w:ascii="Times New Roman" w:hAnsi="Times New Roman" w:eastAsia="宋体"/>
          <w:sz w:val="24"/>
        </w:rPr>
        <w:t>2.科研成果、学科竞赛获奖的加分政策和加分标准由学院制定并认定。体育竞赛、艺术竞赛、入伍服兵役、志愿服务、国际组织实习等项目和类别的加分政策及加分标准原则上由学校相关部门统一制定并认定。</w:t>
      </w:r>
    </w:p>
    <w:p>
      <w:pPr>
        <w:spacing w:before="160" w:after="80" w:line="360" w:lineRule="auto"/>
      </w:pPr>
      <w:r>
        <w:rPr>
          <w:rFonts w:ascii="Times New Roman" w:hAnsi="Times New Roman" w:eastAsia="宋体"/>
          <w:b/>
          <w:sz w:val="28"/>
        </w:rPr>
        <w:t>二、 加分标准：</w:t>
      </w:r>
    </w:p>
    <w:p>
      <w:pPr>
        <w:spacing w:after="80" w:line="360" w:lineRule="auto"/>
        <w:ind w:firstLine="482"/>
        <w:jc w:val="both"/>
      </w:pPr>
      <w:r>
        <w:rPr>
          <w:rFonts w:ascii="Times New Roman" w:hAnsi="Times New Roman" w:eastAsia="宋体"/>
          <w:sz w:val="24"/>
        </w:rPr>
        <w:t>由学院制定和认定的加分政策和加分标准如下表所示。</w:t>
      </w:r>
    </w:p>
    <w:p>
      <w:pPr>
        <w:spacing w:after="80" w:line="360" w:lineRule="auto"/>
        <w:ind w:firstLine="482"/>
        <w:jc w:val="both"/>
      </w:pPr>
      <w:r>
        <w:rPr>
          <w:rFonts w:ascii="Times New Roman" w:hAnsi="Times New Roman" w:eastAsia="宋体"/>
          <w:sz w:val="24"/>
        </w:rPr>
        <w:t>类别</w:t>
      </w:r>
    </w:p>
    <w:p>
      <w:pPr>
        <w:spacing w:after="80" w:line="360" w:lineRule="auto"/>
        <w:ind w:firstLine="482"/>
        <w:jc w:val="both"/>
      </w:pPr>
      <w:r>
        <w:rPr>
          <w:rFonts w:ascii="Times New Roman" w:hAnsi="Times New Roman" w:eastAsia="宋体"/>
          <w:sz w:val="24"/>
        </w:rPr>
        <w:t>序号</w:t>
      </w:r>
    </w:p>
    <w:p>
      <w:pPr>
        <w:spacing w:after="80" w:line="360" w:lineRule="auto"/>
        <w:ind w:firstLine="482"/>
        <w:jc w:val="both"/>
      </w:pPr>
      <w:r>
        <w:rPr>
          <w:rFonts w:ascii="Times New Roman" w:hAnsi="Times New Roman" w:eastAsia="宋体"/>
          <w:sz w:val="24"/>
        </w:rPr>
        <w:t>加分政策</w:t>
      </w:r>
    </w:p>
    <w:p>
      <w:pPr>
        <w:spacing w:after="80" w:line="360" w:lineRule="auto"/>
        <w:ind w:firstLine="482"/>
        <w:jc w:val="both"/>
      </w:pPr>
      <w:r>
        <w:rPr>
          <w:rFonts w:ascii="Times New Roman" w:hAnsi="Times New Roman" w:eastAsia="宋体"/>
          <w:sz w:val="24"/>
        </w:rPr>
        <w:t>加分绩点</w:t>
      </w:r>
    </w:p>
    <w:p>
      <w:pPr>
        <w:spacing w:after="80" w:line="360" w:lineRule="auto"/>
        <w:ind w:firstLine="482"/>
        <w:jc w:val="both"/>
      </w:pPr>
      <w:r>
        <w:rPr>
          <w:rFonts w:ascii="Times New Roman" w:hAnsi="Times New Roman" w:eastAsia="宋体"/>
          <w:sz w:val="24"/>
        </w:rPr>
        <w:t>认定部门</w:t>
      </w:r>
    </w:p>
    <w:p>
      <w:pPr>
        <w:spacing w:after="80" w:line="360" w:lineRule="auto"/>
        <w:ind w:firstLine="482"/>
        <w:jc w:val="both"/>
      </w:pPr>
      <w:r>
        <w:rPr>
          <w:rFonts w:ascii="Times New Roman" w:hAnsi="Times New Roman" w:eastAsia="宋体"/>
          <w:sz w:val="24"/>
        </w:rPr>
        <w:t>科研成果</w:t>
      </w:r>
    </w:p>
    <w:p>
      <w:pPr>
        <w:spacing w:after="80" w:line="360" w:lineRule="auto"/>
        <w:ind w:firstLine="482"/>
        <w:jc w:val="both"/>
      </w:pPr>
      <w:r>
        <w:rPr>
          <w:rFonts w:ascii="Times New Roman" w:hAnsi="Times New Roman" w:eastAsia="宋体"/>
          <w:sz w:val="24"/>
        </w:rPr>
        <w:t>1</w:t>
      </w:r>
    </w:p>
    <w:p>
      <w:pPr>
        <w:spacing w:after="80" w:line="360" w:lineRule="auto"/>
        <w:ind w:firstLine="482"/>
        <w:jc w:val="both"/>
      </w:pPr>
      <w:r>
        <w:rPr>
          <w:rFonts w:ascii="Times New Roman" w:hAnsi="Times New Roman" w:eastAsia="宋体"/>
          <w:sz w:val="24"/>
        </w:rPr>
        <w:t>大创项目（注1）</w:t>
      </w:r>
    </w:p>
    <w:p>
      <w:pPr>
        <w:spacing w:after="80" w:line="360" w:lineRule="auto"/>
        <w:ind w:firstLine="482"/>
        <w:jc w:val="both"/>
      </w:pPr>
      <w:r>
        <w:rPr>
          <w:rFonts w:ascii="Times New Roman" w:hAnsi="Times New Roman" w:eastAsia="宋体"/>
          <w:sz w:val="24"/>
        </w:rPr>
        <w:t>国家级结题优秀项目</w:t>
      </w:r>
    </w:p>
    <w:p>
      <w:pPr>
        <w:spacing w:after="80" w:line="360" w:lineRule="auto"/>
        <w:ind w:firstLine="482"/>
        <w:jc w:val="both"/>
      </w:pPr>
      <w:r>
        <w:rPr>
          <w:rFonts w:ascii="Times New Roman" w:hAnsi="Times New Roman" w:eastAsia="宋体"/>
          <w:sz w:val="24"/>
        </w:rPr>
        <w:t>第一负责人</w:t>
      </w:r>
    </w:p>
    <w:p>
      <w:pPr>
        <w:spacing w:after="80" w:line="360" w:lineRule="auto"/>
        <w:ind w:firstLine="482"/>
        <w:jc w:val="both"/>
      </w:pPr>
      <w:r>
        <w:rPr>
          <w:rFonts w:ascii="Times New Roman" w:hAnsi="Times New Roman" w:eastAsia="宋体"/>
          <w:sz w:val="24"/>
        </w:rPr>
        <w:t>0.2</w:t>
      </w:r>
    </w:p>
    <w:p>
      <w:pPr>
        <w:spacing w:after="80" w:line="360" w:lineRule="auto"/>
        <w:ind w:firstLine="482"/>
        <w:jc w:val="both"/>
      </w:pPr>
      <w:r>
        <w:rPr>
          <w:rFonts w:ascii="Times New Roman" w:hAnsi="Times New Roman" w:eastAsia="宋体"/>
          <w:sz w:val="24"/>
        </w:rPr>
        <w:t>电子科学与工程学院</w:t>
      </w:r>
    </w:p>
    <w:p>
      <w:pPr>
        <w:spacing w:after="80" w:line="360" w:lineRule="auto"/>
        <w:ind w:firstLine="482"/>
        <w:jc w:val="both"/>
      </w:pPr>
      <w:r>
        <w:rPr>
          <w:rFonts w:ascii="Times New Roman" w:hAnsi="Times New Roman" w:eastAsia="宋体"/>
          <w:sz w:val="24"/>
        </w:rPr>
        <w:t>第二负责人</w:t>
      </w:r>
    </w:p>
    <w:p>
      <w:pPr>
        <w:spacing w:after="80" w:line="360" w:lineRule="auto"/>
        <w:ind w:firstLine="482"/>
        <w:jc w:val="both"/>
      </w:pPr>
      <w:r>
        <w:rPr>
          <w:rFonts w:ascii="Times New Roman" w:hAnsi="Times New Roman" w:eastAsia="宋体"/>
          <w:sz w:val="24"/>
        </w:rPr>
        <w:t>0.1</w:t>
      </w:r>
    </w:p>
    <w:p>
      <w:pPr>
        <w:spacing w:after="80" w:line="360" w:lineRule="auto"/>
        <w:ind w:firstLine="482"/>
        <w:jc w:val="both"/>
      </w:pPr>
      <w:r>
        <w:rPr>
          <w:rFonts w:ascii="Times New Roman" w:hAnsi="Times New Roman" w:eastAsia="宋体"/>
          <w:sz w:val="24"/>
        </w:rPr>
        <w:t>2</w:t>
      </w:r>
    </w:p>
    <w:p>
      <w:pPr>
        <w:spacing w:after="80" w:line="360" w:lineRule="auto"/>
        <w:ind w:firstLine="482"/>
        <w:jc w:val="both"/>
      </w:pPr>
      <w:r>
        <w:rPr>
          <w:rFonts w:ascii="Times New Roman" w:hAnsi="Times New Roman" w:eastAsia="宋体"/>
          <w:sz w:val="24"/>
        </w:rPr>
        <w:t>学术论文（本专业相关）</w:t>
      </w:r>
    </w:p>
    <w:p>
      <w:pPr>
        <w:spacing w:after="80" w:line="360" w:lineRule="auto"/>
        <w:ind w:firstLine="482"/>
        <w:jc w:val="both"/>
      </w:pPr>
      <w:r>
        <w:rPr>
          <w:rFonts w:ascii="Times New Roman" w:hAnsi="Times New Roman" w:eastAsia="宋体"/>
          <w:sz w:val="24"/>
        </w:rPr>
        <w:t>学校科研院认定的ABCDE类期刊及其它SCI和EI检索论文</w:t>
      </w:r>
    </w:p>
    <w:p>
      <w:pPr>
        <w:spacing w:after="80" w:line="360" w:lineRule="auto"/>
        <w:ind w:firstLine="482"/>
        <w:jc w:val="both"/>
      </w:pPr>
      <w:r>
        <w:rPr>
          <w:rFonts w:ascii="Times New Roman" w:hAnsi="Times New Roman" w:eastAsia="宋体"/>
          <w:sz w:val="24"/>
        </w:rPr>
        <w:t>（注2）</w:t>
      </w:r>
    </w:p>
    <w:p>
      <w:pPr>
        <w:spacing w:after="80" w:line="360" w:lineRule="auto"/>
        <w:ind w:firstLine="482"/>
        <w:jc w:val="both"/>
      </w:pPr>
      <w:r>
        <w:rPr>
          <w:rFonts w:ascii="Times New Roman" w:hAnsi="Times New Roman" w:eastAsia="宋体"/>
          <w:sz w:val="24"/>
        </w:rPr>
        <w:t>A类，唯一一作</w:t>
      </w:r>
    </w:p>
    <w:p>
      <w:pPr>
        <w:spacing w:after="80" w:line="360" w:lineRule="auto"/>
        <w:ind w:firstLine="482"/>
        <w:jc w:val="both"/>
      </w:pPr>
      <w:r>
        <w:rPr>
          <w:rFonts w:ascii="Times New Roman" w:hAnsi="Times New Roman" w:eastAsia="宋体"/>
          <w:sz w:val="24"/>
        </w:rPr>
        <w:t>0.4</w:t>
      </w:r>
    </w:p>
    <w:p>
      <w:pPr>
        <w:spacing w:after="80" w:line="360" w:lineRule="auto"/>
        <w:ind w:firstLine="482"/>
        <w:jc w:val="both"/>
      </w:pPr>
      <w:r>
        <w:rPr>
          <w:rFonts w:ascii="Times New Roman" w:hAnsi="Times New Roman" w:eastAsia="宋体"/>
          <w:sz w:val="24"/>
        </w:rPr>
        <w:t>B类，唯一一作</w:t>
      </w:r>
    </w:p>
    <w:p>
      <w:pPr>
        <w:spacing w:after="80" w:line="360" w:lineRule="auto"/>
        <w:ind w:firstLine="482"/>
        <w:jc w:val="both"/>
      </w:pPr>
      <w:r>
        <w:rPr>
          <w:rFonts w:ascii="Times New Roman" w:hAnsi="Times New Roman" w:eastAsia="宋体"/>
          <w:sz w:val="24"/>
        </w:rPr>
        <w:t>0.35</w:t>
      </w:r>
    </w:p>
    <w:p>
      <w:pPr>
        <w:spacing w:after="80" w:line="360" w:lineRule="auto"/>
        <w:ind w:firstLine="482"/>
        <w:jc w:val="both"/>
      </w:pPr>
      <w:r>
        <w:rPr>
          <w:rFonts w:ascii="Times New Roman" w:hAnsi="Times New Roman" w:eastAsia="宋体"/>
          <w:sz w:val="24"/>
        </w:rPr>
        <w:t>C类，唯一一作</w:t>
      </w:r>
    </w:p>
    <w:p>
      <w:pPr>
        <w:spacing w:after="80" w:line="360" w:lineRule="auto"/>
        <w:ind w:firstLine="482"/>
        <w:jc w:val="both"/>
      </w:pPr>
      <w:r>
        <w:rPr>
          <w:rFonts w:ascii="Times New Roman" w:hAnsi="Times New Roman" w:eastAsia="宋体"/>
          <w:sz w:val="24"/>
        </w:rPr>
        <w:t>0.3</w:t>
      </w:r>
    </w:p>
    <w:p>
      <w:pPr>
        <w:spacing w:after="80" w:line="360" w:lineRule="auto"/>
        <w:ind w:firstLine="482"/>
        <w:jc w:val="both"/>
      </w:pPr>
      <w:r>
        <w:rPr>
          <w:rFonts w:ascii="Times New Roman" w:hAnsi="Times New Roman" w:eastAsia="宋体"/>
          <w:sz w:val="24"/>
        </w:rPr>
        <w:t>D类，唯一一作</w:t>
      </w:r>
    </w:p>
    <w:p>
      <w:pPr>
        <w:spacing w:after="80" w:line="360" w:lineRule="auto"/>
        <w:ind w:firstLine="482"/>
        <w:jc w:val="both"/>
      </w:pPr>
      <w:r>
        <w:rPr>
          <w:rFonts w:ascii="Times New Roman" w:hAnsi="Times New Roman" w:eastAsia="宋体"/>
          <w:sz w:val="24"/>
        </w:rPr>
        <w:t>0.2</w:t>
      </w:r>
    </w:p>
    <w:p>
      <w:pPr>
        <w:spacing w:after="80" w:line="360" w:lineRule="auto"/>
        <w:ind w:firstLine="482"/>
        <w:jc w:val="both"/>
      </w:pPr>
      <w:r>
        <w:rPr>
          <w:rFonts w:ascii="Times New Roman" w:hAnsi="Times New Roman" w:eastAsia="宋体"/>
          <w:sz w:val="24"/>
        </w:rPr>
        <w:t>E类，唯一一作</w:t>
      </w:r>
    </w:p>
    <w:p>
      <w:pPr>
        <w:spacing w:after="80" w:line="360" w:lineRule="auto"/>
        <w:ind w:firstLine="482"/>
        <w:jc w:val="both"/>
      </w:pPr>
      <w:r>
        <w:rPr>
          <w:rFonts w:ascii="Times New Roman" w:hAnsi="Times New Roman" w:eastAsia="宋体"/>
          <w:sz w:val="24"/>
        </w:rPr>
        <w:t>0.15</w:t>
      </w:r>
    </w:p>
    <w:p>
      <w:pPr>
        <w:spacing w:after="80" w:line="360" w:lineRule="auto"/>
        <w:ind w:firstLine="482"/>
        <w:jc w:val="both"/>
      </w:pPr>
      <w:r>
        <w:rPr>
          <w:rFonts w:ascii="Times New Roman" w:hAnsi="Times New Roman" w:eastAsia="宋体"/>
          <w:sz w:val="24"/>
        </w:rPr>
        <w:t>F类，唯一一作</w:t>
      </w:r>
    </w:p>
    <w:p>
      <w:pPr>
        <w:spacing w:after="80" w:line="360" w:lineRule="auto"/>
        <w:ind w:firstLine="482"/>
        <w:jc w:val="both"/>
      </w:pPr>
      <w:r>
        <w:rPr>
          <w:rFonts w:ascii="Times New Roman" w:hAnsi="Times New Roman" w:eastAsia="宋体"/>
          <w:sz w:val="24"/>
        </w:rPr>
        <w:t>0.1</w:t>
      </w:r>
    </w:p>
    <w:p>
      <w:pPr>
        <w:spacing w:after="80" w:line="360" w:lineRule="auto"/>
        <w:ind w:firstLine="482"/>
        <w:jc w:val="both"/>
      </w:pPr>
      <w:r>
        <w:rPr>
          <w:rFonts w:ascii="Times New Roman" w:hAnsi="Times New Roman" w:eastAsia="宋体"/>
          <w:sz w:val="24"/>
        </w:rPr>
        <w:t>G类，唯一一作</w:t>
      </w:r>
    </w:p>
    <w:p>
      <w:pPr>
        <w:spacing w:after="80" w:line="360" w:lineRule="auto"/>
        <w:ind w:firstLine="482"/>
        <w:jc w:val="both"/>
      </w:pPr>
      <w:r>
        <w:rPr>
          <w:rFonts w:ascii="Times New Roman" w:hAnsi="Times New Roman" w:eastAsia="宋体"/>
          <w:sz w:val="24"/>
        </w:rPr>
        <w:t>0.05</w:t>
      </w:r>
    </w:p>
    <w:p>
      <w:pPr>
        <w:spacing w:after="80" w:line="360" w:lineRule="auto"/>
        <w:ind w:firstLine="482"/>
        <w:jc w:val="both"/>
      </w:pPr>
      <w:r>
        <w:rPr>
          <w:rFonts w:ascii="Times New Roman" w:hAnsi="Times New Roman" w:eastAsia="宋体"/>
          <w:sz w:val="24"/>
        </w:rPr>
        <w:t>EI检索论文，唯一一作</w:t>
      </w:r>
    </w:p>
    <w:p>
      <w:pPr>
        <w:spacing w:after="80" w:line="360" w:lineRule="auto"/>
        <w:ind w:firstLine="482"/>
        <w:jc w:val="both"/>
      </w:pPr>
      <w:r>
        <w:rPr>
          <w:rFonts w:ascii="Times New Roman" w:hAnsi="Times New Roman" w:eastAsia="宋体"/>
          <w:sz w:val="24"/>
        </w:rPr>
        <w:t>0.02</w:t>
      </w:r>
    </w:p>
    <w:p>
      <w:pPr>
        <w:spacing w:after="80" w:line="360" w:lineRule="auto"/>
        <w:ind w:firstLine="482"/>
        <w:jc w:val="both"/>
      </w:pPr>
      <w:r>
        <w:rPr>
          <w:rFonts w:ascii="Times New Roman" w:hAnsi="Times New Roman" w:eastAsia="宋体"/>
          <w:sz w:val="24"/>
        </w:rPr>
        <w:t>北大核心期刊论文，唯一一作</w:t>
      </w:r>
    </w:p>
    <w:p>
      <w:pPr>
        <w:spacing w:after="80" w:line="360" w:lineRule="auto"/>
        <w:ind w:firstLine="482"/>
        <w:jc w:val="both"/>
      </w:pPr>
      <w:r>
        <w:rPr>
          <w:rFonts w:ascii="Times New Roman" w:hAnsi="Times New Roman" w:eastAsia="宋体"/>
          <w:sz w:val="24"/>
        </w:rPr>
        <w:t>0.01</w:t>
      </w:r>
    </w:p>
    <w:p>
      <w:pPr>
        <w:spacing w:after="80" w:line="360" w:lineRule="auto"/>
        <w:ind w:firstLine="482"/>
        <w:jc w:val="both"/>
      </w:pPr>
      <w:r>
        <w:rPr>
          <w:rFonts w:ascii="Times New Roman" w:hAnsi="Times New Roman" w:eastAsia="宋体"/>
          <w:sz w:val="24"/>
        </w:rPr>
        <w:t>3</w:t>
      </w:r>
    </w:p>
    <w:p>
      <w:pPr>
        <w:spacing w:after="80" w:line="360" w:lineRule="auto"/>
        <w:ind w:firstLine="482"/>
        <w:jc w:val="both"/>
      </w:pPr>
      <w:r>
        <w:rPr>
          <w:rFonts w:ascii="Times New Roman" w:hAnsi="Times New Roman" w:eastAsia="宋体"/>
          <w:sz w:val="24"/>
        </w:rPr>
        <w:t>授权的知识产权（本专业相关）</w:t>
      </w:r>
    </w:p>
    <w:p>
      <w:pPr>
        <w:spacing w:after="80" w:line="360" w:lineRule="auto"/>
        <w:ind w:firstLine="482"/>
        <w:jc w:val="both"/>
      </w:pPr>
      <w:r>
        <w:rPr>
          <w:rFonts w:ascii="Times New Roman" w:hAnsi="Times New Roman" w:eastAsia="宋体"/>
          <w:sz w:val="24"/>
        </w:rPr>
        <w:t>国际发明专利</w:t>
      </w:r>
    </w:p>
    <w:p>
      <w:pPr>
        <w:spacing w:after="80" w:line="360" w:lineRule="auto"/>
        <w:ind w:firstLine="482"/>
        <w:jc w:val="both"/>
      </w:pPr>
      <w:r>
        <w:rPr>
          <w:rFonts w:ascii="Times New Roman" w:hAnsi="Times New Roman" w:eastAsia="宋体"/>
          <w:sz w:val="24"/>
        </w:rPr>
        <w:t>第一发明人</w:t>
      </w:r>
    </w:p>
    <w:p>
      <w:pPr>
        <w:spacing w:after="80" w:line="360" w:lineRule="auto"/>
        <w:ind w:firstLine="482"/>
        <w:jc w:val="both"/>
      </w:pPr>
      <w:r>
        <w:rPr>
          <w:rFonts w:ascii="Times New Roman" w:hAnsi="Times New Roman" w:eastAsia="宋体"/>
          <w:sz w:val="24"/>
        </w:rPr>
        <w:t>0.15</w:t>
      </w:r>
    </w:p>
    <w:p>
      <w:pPr>
        <w:spacing w:after="80" w:line="360" w:lineRule="auto"/>
        <w:ind w:firstLine="482"/>
        <w:jc w:val="both"/>
      </w:pPr>
      <w:r>
        <w:rPr>
          <w:rFonts w:ascii="Times New Roman" w:hAnsi="Times New Roman" w:eastAsia="宋体"/>
          <w:sz w:val="24"/>
        </w:rPr>
        <w:t>中国发明专利</w:t>
      </w:r>
    </w:p>
    <w:p>
      <w:pPr>
        <w:spacing w:after="80" w:line="360" w:lineRule="auto"/>
        <w:ind w:firstLine="482"/>
        <w:jc w:val="both"/>
      </w:pPr>
      <w:r>
        <w:rPr>
          <w:rFonts w:ascii="Times New Roman" w:hAnsi="Times New Roman" w:eastAsia="宋体"/>
          <w:sz w:val="24"/>
        </w:rPr>
        <w:t>第一发明人</w:t>
      </w:r>
    </w:p>
    <w:p>
      <w:pPr>
        <w:spacing w:after="80" w:line="360" w:lineRule="auto"/>
        <w:ind w:firstLine="482"/>
        <w:jc w:val="both"/>
      </w:pPr>
      <w:r>
        <w:rPr>
          <w:rFonts w:ascii="Times New Roman" w:hAnsi="Times New Roman" w:eastAsia="宋体"/>
          <w:sz w:val="24"/>
        </w:rPr>
        <w:t>0.1</w:t>
      </w:r>
    </w:p>
    <w:p>
      <w:pPr>
        <w:spacing w:after="80" w:line="360" w:lineRule="auto"/>
        <w:ind w:firstLine="482"/>
        <w:jc w:val="both"/>
      </w:pPr>
      <w:r>
        <w:rPr>
          <w:rFonts w:ascii="Times New Roman" w:hAnsi="Times New Roman" w:eastAsia="宋体"/>
          <w:sz w:val="24"/>
        </w:rPr>
        <w:t>实用新型专利</w:t>
      </w:r>
    </w:p>
    <w:p>
      <w:pPr>
        <w:spacing w:after="80" w:line="360" w:lineRule="auto"/>
        <w:ind w:firstLine="482"/>
        <w:jc w:val="both"/>
      </w:pPr>
      <w:r>
        <w:rPr>
          <w:rFonts w:ascii="Times New Roman" w:hAnsi="Times New Roman" w:eastAsia="宋体"/>
          <w:sz w:val="24"/>
        </w:rPr>
        <w:t>第一发明人</w:t>
      </w:r>
    </w:p>
    <w:p>
      <w:pPr>
        <w:spacing w:after="80" w:line="360" w:lineRule="auto"/>
        <w:ind w:firstLine="482"/>
        <w:jc w:val="both"/>
      </w:pPr>
      <w:r>
        <w:rPr>
          <w:rFonts w:ascii="Times New Roman" w:hAnsi="Times New Roman" w:eastAsia="宋体"/>
          <w:sz w:val="24"/>
        </w:rPr>
        <w:t>0.05</w:t>
      </w:r>
    </w:p>
    <w:p>
      <w:pPr>
        <w:spacing w:after="80" w:line="360" w:lineRule="auto"/>
        <w:ind w:firstLine="482"/>
        <w:jc w:val="both"/>
      </w:pPr>
      <w:r>
        <w:rPr>
          <w:rFonts w:ascii="Times New Roman" w:hAnsi="Times New Roman" w:eastAsia="宋体"/>
          <w:sz w:val="24"/>
        </w:rPr>
        <w:t>软件著作权及其他</w:t>
      </w:r>
    </w:p>
    <w:p>
      <w:pPr>
        <w:spacing w:after="80" w:line="360" w:lineRule="auto"/>
        <w:ind w:firstLine="482"/>
        <w:jc w:val="both"/>
      </w:pPr>
      <w:r>
        <w:rPr>
          <w:rFonts w:ascii="Times New Roman" w:hAnsi="Times New Roman" w:eastAsia="宋体"/>
          <w:sz w:val="24"/>
        </w:rPr>
        <w:t>第一著作权人</w:t>
      </w:r>
    </w:p>
    <w:p>
      <w:pPr>
        <w:spacing w:after="80" w:line="360" w:lineRule="auto"/>
        <w:ind w:firstLine="482"/>
        <w:jc w:val="both"/>
      </w:pPr>
      <w:r>
        <w:rPr>
          <w:rFonts w:ascii="Times New Roman" w:hAnsi="Times New Roman" w:eastAsia="宋体"/>
          <w:sz w:val="24"/>
        </w:rPr>
        <w:t>0.05</w:t>
      </w:r>
    </w:p>
    <w:p>
      <w:pPr>
        <w:spacing w:after="80" w:line="360" w:lineRule="auto"/>
        <w:ind w:firstLine="482"/>
        <w:jc w:val="both"/>
      </w:pPr>
      <w:r>
        <w:rPr>
          <w:rFonts w:ascii="Times New Roman" w:hAnsi="Times New Roman" w:eastAsia="宋体"/>
          <w:sz w:val="24"/>
        </w:rPr>
        <w:t>竞赛</w:t>
      </w:r>
    </w:p>
    <w:p>
      <w:pPr>
        <w:spacing w:after="80" w:line="360" w:lineRule="auto"/>
        <w:ind w:firstLine="482"/>
        <w:jc w:val="both"/>
      </w:pPr>
      <w:r>
        <w:rPr>
          <w:rFonts w:ascii="Times New Roman" w:hAnsi="Times New Roman" w:eastAsia="宋体"/>
          <w:sz w:val="24"/>
        </w:rPr>
        <w:t>获奖</w:t>
      </w:r>
    </w:p>
    <w:p>
      <w:pPr>
        <w:spacing w:after="80" w:line="360" w:lineRule="auto"/>
        <w:ind w:firstLine="482"/>
        <w:jc w:val="both"/>
      </w:pPr>
      <w:r>
        <w:rPr>
          <w:rFonts w:ascii="Times New Roman" w:hAnsi="Times New Roman" w:eastAsia="宋体"/>
          <w:sz w:val="24"/>
        </w:rPr>
        <w:t>1</w:t>
      </w:r>
    </w:p>
    <w:p>
      <w:pPr>
        <w:spacing w:after="80" w:line="360" w:lineRule="auto"/>
        <w:ind w:firstLine="482"/>
        <w:jc w:val="both"/>
      </w:pPr>
      <w:r>
        <w:rPr>
          <w:rFonts w:ascii="Times New Roman" w:hAnsi="Times New Roman" w:eastAsia="宋体"/>
          <w:sz w:val="24"/>
        </w:rPr>
        <w:t>吉林大学本科生学科竞赛体系</w:t>
      </w:r>
    </w:p>
    <w:p>
      <w:pPr>
        <w:spacing w:after="80" w:line="360" w:lineRule="auto"/>
        <w:ind w:firstLine="482"/>
        <w:jc w:val="both"/>
      </w:pPr>
      <w:r>
        <w:rPr>
          <w:rFonts w:ascii="Times New Roman" w:hAnsi="Times New Roman" w:eastAsia="宋体"/>
          <w:sz w:val="24"/>
        </w:rPr>
        <w:t>（注3）</w:t>
      </w:r>
    </w:p>
    <w:p>
      <w:pPr>
        <w:spacing w:after="80" w:line="360" w:lineRule="auto"/>
        <w:ind w:firstLine="482"/>
        <w:jc w:val="both"/>
      </w:pPr>
      <w:r>
        <w:rPr>
          <w:rFonts w:ascii="Times New Roman" w:hAnsi="Times New Roman" w:eastAsia="宋体"/>
          <w:sz w:val="24"/>
        </w:rPr>
        <w:t>各类学科竞赛荣获国家或国际级奖项的主力队员（前6人）</w:t>
      </w:r>
    </w:p>
    <w:p>
      <w:pPr>
        <w:spacing w:after="80" w:line="360" w:lineRule="auto"/>
        <w:ind w:firstLine="482"/>
        <w:jc w:val="both"/>
      </w:pPr>
      <w:r>
        <w:rPr>
          <w:rFonts w:ascii="Times New Roman" w:hAnsi="Times New Roman" w:eastAsia="宋体"/>
          <w:sz w:val="24"/>
        </w:rPr>
        <w:t>A类：国家一等奖（金奖）</w:t>
      </w:r>
    </w:p>
    <w:p>
      <w:pPr>
        <w:spacing w:after="80" w:line="360" w:lineRule="auto"/>
        <w:ind w:firstLine="482"/>
        <w:jc w:val="both"/>
      </w:pPr>
      <w:r>
        <w:rPr>
          <w:rFonts w:ascii="Times New Roman" w:hAnsi="Times New Roman" w:eastAsia="宋体"/>
          <w:sz w:val="24"/>
        </w:rPr>
        <w:t>0.4</w:t>
      </w:r>
    </w:p>
    <w:p>
      <w:pPr>
        <w:spacing w:after="80" w:line="360" w:lineRule="auto"/>
        <w:ind w:firstLine="482"/>
        <w:jc w:val="both"/>
      </w:pPr>
      <w:r>
        <w:rPr>
          <w:rFonts w:ascii="Times New Roman" w:hAnsi="Times New Roman" w:eastAsia="宋体"/>
          <w:sz w:val="24"/>
        </w:rPr>
        <w:t>电子科学与工程学院</w:t>
      </w:r>
    </w:p>
    <w:p>
      <w:pPr>
        <w:spacing w:after="80" w:line="360" w:lineRule="auto"/>
        <w:ind w:firstLine="482"/>
        <w:jc w:val="both"/>
      </w:pPr>
      <w:r>
        <w:rPr>
          <w:rFonts w:ascii="Times New Roman" w:hAnsi="Times New Roman" w:eastAsia="宋体"/>
          <w:sz w:val="24"/>
        </w:rPr>
        <w:t>A类：国家二等奖（银奖）</w:t>
      </w:r>
    </w:p>
    <w:p>
      <w:pPr>
        <w:spacing w:after="80" w:line="360" w:lineRule="auto"/>
        <w:ind w:firstLine="482"/>
        <w:jc w:val="both"/>
      </w:pPr>
      <w:r>
        <w:rPr>
          <w:rFonts w:ascii="Times New Roman" w:hAnsi="Times New Roman" w:eastAsia="宋体"/>
          <w:sz w:val="24"/>
        </w:rPr>
        <w:t>0.2</w:t>
      </w:r>
    </w:p>
    <w:p>
      <w:pPr>
        <w:spacing w:after="80" w:line="360" w:lineRule="auto"/>
        <w:ind w:firstLine="482"/>
        <w:jc w:val="both"/>
      </w:pPr>
      <w:r>
        <w:rPr>
          <w:rFonts w:ascii="Times New Roman" w:hAnsi="Times New Roman" w:eastAsia="宋体"/>
          <w:sz w:val="24"/>
        </w:rPr>
        <w:t>A类：国家三等奖（铜奖）</w:t>
      </w:r>
    </w:p>
    <w:p>
      <w:pPr>
        <w:spacing w:after="80" w:line="360" w:lineRule="auto"/>
        <w:ind w:firstLine="482"/>
        <w:jc w:val="both"/>
      </w:pPr>
      <w:r>
        <w:rPr>
          <w:rFonts w:ascii="Times New Roman" w:hAnsi="Times New Roman" w:eastAsia="宋体"/>
          <w:sz w:val="24"/>
        </w:rPr>
        <w:t>0.1</w:t>
      </w:r>
    </w:p>
    <w:p>
      <w:pPr>
        <w:spacing w:after="80" w:line="360" w:lineRule="auto"/>
        <w:ind w:firstLine="482"/>
        <w:jc w:val="both"/>
      </w:pPr>
      <w:r>
        <w:rPr>
          <w:rFonts w:ascii="Times New Roman" w:hAnsi="Times New Roman" w:eastAsia="宋体"/>
          <w:sz w:val="24"/>
        </w:rPr>
        <w:t>B类：国家一等奖（金奖）</w:t>
      </w:r>
    </w:p>
    <w:p>
      <w:pPr>
        <w:spacing w:after="80" w:line="360" w:lineRule="auto"/>
        <w:ind w:firstLine="482"/>
        <w:jc w:val="both"/>
      </w:pPr>
      <w:r>
        <w:rPr>
          <w:rFonts w:ascii="Times New Roman" w:hAnsi="Times New Roman" w:eastAsia="宋体"/>
          <w:sz w:val="24"/>
        </w:rPr>
        <w:t>0.2</w:t>
      </w:r>
    </w:p>
    <w:p>
      <w:pPr>
        <w:spacing w:after="80" w:line="360" w:lineRule="auto"/>
        <w:ind w:firstLine="482"/>
        <w:jc w:val="both"/>
      </w:pPr>
      <w:r>
        <w:rPr>
          <w:rFonts w:ascii="Times New Roman" w:hAnsi="Times New Roman" w:eastAsia="宋体"/>
          <w:sz w:val="24"/>
        </w:rPr>
        <w:t>B类：国家二等奖（银奖）</w:t>
      </w:r>
    </w:p>
    <w:p>
      <w:pPr>
        <w:spacing w:after="80" w:line="360" w:lineRule="auto"/>
        <w:ind w:firstLine="482"/>
        <w:jc w:val="both"/>
      </w:pPr>
      <w:r>
        <w:rPr>
          <w:rFonts w:ascii="Times New Roman" w:hAnsi="Times New Roman" w:eastAsia="宋体"/>
          <w:sz w:val="24"/>
        </w:rPr>
        <w:t>0.1</w:t>
      </w:r>
    </w:p>
    <w:p>
      <w:pPr>
        <w:spacing w:after="80" w:line="360" w:lineRule="auto"/>
        <w:ind w:firstLine="482"/>
        <w:jc w:val="both"/>
      </w:pPr>
      <w:r>
        <w:rPr>
          <w:rFonts w:ascii="Times New Roman" w:hAnsi="Times New Roman" w:eastAsia="宋体"/>
          <w:sz w:val="24"/>
        </w:rPr>
        <w:t>B类：国家三等奖（铜奖）</w:t>
      </w:r>
    </w:p>
    <w:p>
      <w:pPr>
        <w:spacing w:after="80" w:line="360" w:lineRule="auto"/>
        <w:ind w:firstLine="482"/>
        <w:jc w:val="both"/>
      </w:pPr>
      <w:r>
        <w:rPr>
          <w:rFonts w:ascii="Times New Roman" w:hAnsi="Times New Roman" w:eastAsia="宋体"/>
          <w:sz w:val="24"/>
        </w:rPr>
        <w:t>0.05</w:t>
      </w:r>
    </w:p>
    <w:p>
      <w:pPr>
        <w:spacing w:after="80" w:line="360" w:lineRule="auto"/>
        <w:ind w:firstLine="482"/>
        <w:jc w:val="both"/>
      </w:pPr>
      <w:r>
        <w:rPr>
          <w:rFonts w:ascii="Times New Roman" w:hAnsi="Times New Roman" w:eastAsia="宋体"/>
          <w:sz w:val="24"/>
        </w:rPr>
        <w:t>C类：国家一等奖（金奖）</w:t>
      </w:r>
    </w:p>
    <w:p>
      <w:pPr>
        <w:spacing w:after="80" w:line="360" w:lineRule="auto"/>
        <w:ind w:firstLine="482"/>
        <w:jc w:val="both"/>
      </w:pPr>
      <w:r>
        <w:rPr>
          <w:rFonts w:ascii="Times New Roman" w:hAnsi="Times New Roman" w:eastAsia="宋体"/>
          <w:sz w:val="24"/>
        </w:rPr>
        <w:t>0.1</w:t>
      </w:r>
    </w:p>
    <w:p>
      <w:pPr>
        <w:spacing w:after="80" w:line="360" w:lineRule="auto"/>
        <w:ind w:firstLine="482"/>
        <w:jc w:val="both"/>
      </w:pPr>
      <w:r>
        <w:rPr>
          <w:rFonts w:ascii="Times New Roman" w:hAnsi="Times New Roman" w:eastAsia="宋体"/>
          <w:sz w:val="24"/>
        </w:rPr>
        <w:t>C类：国家二等奖（银奖）</w:t>
      </w:r>
    </w:p>
    <w:p>
      <w:pPr>
        <w:spacing w:after="80" w:line="360" w:lineRule="auto"/>
        <w:ind w:firstLine="482"/>
        <w:jc w:val="both"/>
      </w:pPr>
      <w:r>
        <w:rPr>
          <w:rFonts w:ascii="Times New Roman" w:hAnsi="Times New Roman" w:eastAsia="宋体"/>
          <w:sz w:val="24"/>
        </w:rPr>
        <w:t>0.05</w:t>
      </w:r>
    </w:p>
    <w:p>
      <w:pPr>
        <w:spacing w:after="80" w:line="360" w:lineRule="auto"/>
        <w:ind w:firstLine="482"/>
        <w:jc w:val="both"/>
      </w:pPr>
      <w:r>
        <w:rPr>
          <w:rFonts w:ascii="Times New Roman" w:hAnsi="Times New Roman" w:eastAsia="宋体"/>
          <w:sz w:val="24"/>
        </w:rPr>
        <w:t>C类：国家三等奖（铜奖）</w:t>
      </w:r>
    </w:p>
    <w:p>
      <w:pPr>
        <w:spacing w:after="80" w:line="360" w:lineRule="auto"/>
        <w:ind w:firstLine="482"/>
        <w:jc w:val="both"/>
      </w:pPr>
      <w:r>
        <w:rPr>
          <w:rFonts w:ascii="Times New Roman" w:hAnsi="Times New Roman" w:eastAsia="宋体"/>
          <w:sz w:val="24"/>
        </w:rPr>
        <w:t>0.02</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