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浙江工商大学工商管理学院（MBA学院）2026年接收推荐免试攻读博士、硕士学位研究生实施细则</w:t>
      </w:r>
    </w:p>
    <w:p>
      <w:pPr>
        <w:spacing w:after="80" w:lineRule="auto" w:line="360"/>
        <w:ind w:firstLine="482"/>
        <w:jc w:val="both"/>
      </w:pPr>
      <w:r>
        <w:rPr>
          <w:rFonts w:ascii="Times New Roman" w:hAnsi="Times New Roman" w:eastAsia="宋体"/>
          <w:b w:val="0"/>
          <w:sz w:val="24"/>
        </w:rPr>
        <w:t>发布日期：2025年09月18日</w:t>
      </w:r>
    </w:p>
    <w:p>
      <w:pPr>
        <w:spacing w:after="80" w:lineRule="auto" w:line="360"/>
        <w:ind w:firstLine="482"/>
        <w:jc w:val="both"/>
      </w:pPr>
      <w:r>
        <w:rPr>
          <w:rFonts w:ascii="Times New Roman" w:hAnsi="Times New Roman" w:eastAsia="宋体"/>
          <w:b w:val="0"/>
          <w:sz w:val="24"/>
        </w:rPr>
        <w:t>1. 名单人数：本细则为接收推免生工作实施细则，未公示具体接收人数。</w:t>
      </w:r>
    </w:p>
    <w:p>
      <w:pPr>
        <w:spacing w:after="80" w:lineRule="auto" w:line="360"/>
        <w:ind w:firstLine="482"/>
        <w:jc w:val="both"/>
      </w:pPr>
      <w:r>
        <w:rPr>
          <w:rFonts w:ascii="Times New Roman" w:hAnsi="Times New Roman" w:eastAsia="宋体"/>
          <w:b w:val="0"/>
          <w:sz w:val="24"/>
        </w:rPr>
        <w:t>2. 涵盖专业：本细则未明确列出具体涵盖专业，适用于我院2026年接收推荐免试攻读博士、硕士学位研究生工作。</w:t>
      </w:r>
    </w:p>
    <w:p>
      <w:pPr>
        <w:spacing w:after="80" w:lineRule="auto" w:line="360"/>
        <w:ind w:firstLine="482"/>
        <w:jc w:val="both"/>
      </w:pPr>
      <w:r>
        <w:rPr>
          <w:rFonts w:ascii="Times New Roman" w:hAnsi="Times New Roman" w:eastAsia="宋体"/>
          <w:b w:val="0"/>
          <w:sz w:val="24"/>
        </w:rPr>
        <w:t>3. 排名/评分方式：推免硕士复试总成绩（百分制）＝专业能力测试成绩（百分制）×70%＋外语听力及口语测试成绩（百分制）×30%；直博生复试总成绩（百分制）＝学科专家组面试成绩（百分制）×70%＋外语笔试或口试成绩（百分制）×30%；根据复试总成绩从高到低排序，择优录取；复试成绩不合格者（低于满分值60%）不予录取；思想政治素质和品德考核不合格者不予录取。</w:t>
      </w:r>
    </w:p>
    <w:p>
      <w:pPr>
        <w:spacing w:after="80" w:lineRule="auto" w:line="360"/>
        <w:ind w:firstLine="482"/>
        <w:jc w:val="both"/>
      </w:pPr>
      <w:r>
        <w:rPr>
          <w:rFonts w:ascii="Times New Roman" w:hAnsi="Times New Roman" w:eastAsia="宋体"/>
          <w:b w:val="0"/>
          <w:sz w:val="24"/>
        </w:rPr>
        <w:t>4. 公示期：本细则未涉及公示期安排。</w:t>
      </w:r>
    </w:p>
    <w:p>
      <w:pPr>
        <w:spacing w:after="80" w:lineRule="auto" w:line="360"/>
        <w:ind w:firstLine="482"/>
        <w:jc w:val="both"/>
      </w:pPr>
      <w:r>
        <w:rPr>
          <w:rFonts w:ascii="Times New Roman" w:hAnsi="Times New Roman" w:eastAsia="宋体"/>
          <w:b w:val="0"/>
          <w:sz w:val="24"/>
        </w:rPr>
        <w:t>5. 其他重要说明：网上报名时间为2025年9月22日上午9:00至9月23日上午9:00；复试形式为远程复试，复试时间为2025年9月23日下午13:00；考生须于9月23日上午10点前提交复试材料至指定邮箱；拟录取考生需在拟录取公示期内提交二级甲等以上医院两个月以内的体格检查表，并寄送至指定地址；学院招生联系电话：0571-28008008、0571-89995929；学院纪委举报电话：0571-28008003，举报邮箱：yhl@mail.zjgsu.edu.cn；学校纪检监察室举报电话：0571-28877069，邮箱：zjgsujw@126.com；研究生院举报电话：0571-28877235，邮箱：yjszs@zjs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