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895"/>
        <w:spacing w:before="357" w:line="219" w:lineRule="auto"/>
        <w:outlineLvl w:val="0"/>
        <w:rPr>
          <w:rFonts w:ascii="SimSun" w:hAnsi="SimSun" w:eastAsia="SimSun" w:cs="SimSun"/>
          <w:sz w:val="110"/>
          <w:szCs w:val="110"/>
        </w:rPr>
      </w:pPr>
      <w:r>
        <w:rPr>
          <w:rFonts w:ascii="SimSun" w:hAnsi="SimSun" w:eastAsia="SimSun" w:cs="SimSun"/>
          <w:sz w:val="110"/>
          <w:szCs w:val="110"/>
          <w:b/>
          <w:bCs/>
          <w:color w:val="C04020"/>
          <w:spacing w:val="31"/>
        </w:rPr>
        <w:t>福州大学文件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3140"/>
        <w:spacing w:before="104" w:line="2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</w:rPr>
        <w:t>福大学〔2025〕46号</w:t>
      </w:r>
    </w:p>
    <w:p>
      <w:pPr>
        <w:spacing w:line="60" w:lineRule="exact"/>
        <w:rPr/>
      </w:pPr>
      <w:r>
        <w:rPr>
          <w:position w:val="-1"/>
        </w:rPr>
        <w:drawing>
          <wp:inline distT="0" distB="0" distL="0" distR="0">
            <wp:extent cx="5638811" cy="3813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38811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02" w:lineRule="auto"/>
        <w:rPr/>
      </w:pPr>
      <w:r/>
    </w:p>
    <w:p>
      <w:pPr>
        <w:ind w:left="280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7"/>
        </w:rPr>
        <w:t>福州大学关于印发</w:t>
      </w:r>
    </w:p>
    <w:p>
      <w:pPr>
        <w:ind w:left="996"/>
        <w:spacing w:before="90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5"/>
        </w:rPr>
        <w:t>学生高水平科创竞赛奖励办法的通知</w:t>
      </w:r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120"/>
        <w:spacing w:before="104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2"/>
        </w:rPr>
        <w:t>各学院，机关各部门，各单位：</w:t>
      </w:r>
    </w:p>
    <w:p>
      <w:pPr>
        <w:ind w:left="120" w:firstLine="649"/>
        <w:spacing w:before="268" w:line="36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《福州大学学生高水平科创竞赛奖励办法》经校长办公会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9"/>
        </w:rPr>
        <w:t>议(2025年第11次)审议通过，现印发给你们，请遵照执行。</w:t>
      </w:r>
    </w:p>
    <w:p>
      <w:pPr>
        <w:pStyle w:val="BodyText"/>
        <w:spacing w:line="289" w:lineRule="auto"/>
        <w:rPr/>
      </w:pPr>
      <w:r/>
    </w:p>
    <w:p>
      <w:pPr>
        <w:pStyle w:val="BodyText"/>
        <w:spacing w:line="289" w:lineRule="auto"/>
        <w:rPr/>
      </w:pPr>
      <w:r/>
    </w:p>
    <w:p>
      <w:pPr>
        <w:pStyle w:val="BodyText"/>
        <w:spacing w:line="289" w:lineRule="auto"/>
        <w:rPr/>
      </w:pPr>
      <w:r/>
    </w:p>
    <w:p>
      <w:pPr>
        <w:pStyle w:val="BodyText"/>
        <w:spacing w:line="290" w:lineRule="auto"/>
        <w:rPr/>
      </w:pPr>
      <w:r/>
    </w:p>
    <w:p>
      <w:pPr>
        <w:ind w:left="5669"/>
        <w:spacing w:before="114" w:line="222" w:lineRule="auto"/>
        <w:rPr>
          <w:rFonts w:ascii="FangSong" w:hAnsi="FangSong" w:eastAsia="FangSong" w:cs="FangSong"/>
          <w:sz w:val="35"/>
          <w:szCs w:val="35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3200404</wp:posOffset>
            </wp:positionH>
            <wp:positionV relativeFrom="paragraph">
              <wp:posOffset>-398483</wp:posOffset>
            </wp:positionV>
            <wp:extent cx="1657367" cy="163201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57367" cy="1632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5"/>
          <w:szCs w:val="35"/>
          <w:spacing w:val="-22"/>
        </w:rPr>
        <w:t>福</w:t>
      </w:r>
      <w:r>
        <w:rPr>
          <w:rFonts w:ascii="FangSong" w:hAnsi="FangSong" w:eastAsia="FangSong" w:cs="FangSong"/>
          <w:sz w:val="35"/>
          <w:szCs w:val="35"/>
          <w:spacing w:val="12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州</w:t>
      </w:r>
      <w:r>
        <w:rPr>
          <w:rFonts w:ascii="FangSong" w:hAnsi="FangSong" w:eastAsia="FangSong" w:cs="FangSong"/>
          <w:sz w:val="35"/>
          <w:szCs w:val="35"/>
          <w:spacing w:val="12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大</w:t>
      </w:r>
      <w:r>
        <w:rPr>
          <w:rFonts w:ascii="FangSong" w:hAnsi="FangSong" w:eastAsia="FangSong" w:cs="FangSong"/>
          <w:sz w:val="35"/>
          <w:szCs w:val="35"/>
          <w:spacing w:val="12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学</w:t>
      </w:r>
    </w:p>
    <w:p>
      <w:pPr>
        <w:ind w:left="5530"/>
        <w:spacing w:before="328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5"/>
        </w:rPr>
        <w:t>2025年7月7日</w:t>
      </w:r>
    </w:p>
    <w:p>
      <w:pPr>
        <w:spacing w:line="222" w:lineRule="auto"/>
        <w:sectPr>
          <w:footerReference w:type="default" r:id="rId1"/>
          <w:pgSz w:w="11900" w:h="16820"/>
          <w:pgMar w:top="1429" w:right="1630" w:bottom="1763" w:left="1239" w:header="0" w:footer="1424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65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1"/>
        </w:rPr>
        <w:t>福州大学学生高水平科创竞赛奖励办法</w:t>
      </w:r>
    </w:p>
    <w:p>
      <w:pPr>
        <w:pStyle w:val="BodyText"/>
        <w:spacing w:line="274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ind w:right="70" w:firstLine="630"/>
        <w:spacing w:before="107" w:line="302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1"/>
        </w:rPr>
        <w:t>为深入贯彻落实习近平总书记给中国国际大学生创新大赛参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4"/>
        </w:rPr>
        <w:t>赛学生代表的重要回信和给大赛“青年红色筑梦之旅”大学生重要</w:t>
      </w:r>
      <w:r>
        <w:rPr>
          <w:rFonts w:ascii="FangSong" w:hAnsi="FangSong" w:eastAsia="FangSong" w:cs="FangSong"/>
          <w:sz w:val="33"/>
          <w:szCs w:val="33"/>
          <w:spacing w:val="1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4"/>
        </w:rPr>
        <w:t>回信精神，落实立德树人根本任务，广泛激发我校师生参加高水平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5"/>
        </w:rPr>
        <w:t>科创竞赛的积极性，以赛促学、以赛促教、以赛促改，以科技创新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2"/>
        </w:rPr>
        <w:t>支撑人才培养高质量发展，结合学校实际，特制定本办法。</w:t>
      </w:r>
    </w:p>
    <w:p>
      <w:pPr>
        <w:ind w:right="59" w:firstLine="650"/>
        <w:spacing w:before="4" w:line="29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45"/>
        </w:rPr>
        <w:t>本办法适用于中国国际大学生创新大赛、“挑战杯”全国大学</w:t>
      </w:r>
      <w:r>
        <w:rPr>
          <w:rFonts w:ascii="FangSong" w:hAnsi="FangSong" w:eastAsia="FangSong" w:cs="FangSong"/>
          <w:sz w:val="35"/>
          <w:szCs w:val="35"/>
          <w:spacing w:val="1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42"/>
        </w:rPr>
        <w:t>生课外学术科技作品竞赛、“挑战杯”中国大学生创业计划竞赛。</w:t>
      </w:r>
    </w:p>
    <w:p>
      <w:pPr>
        <w:ind w:left="650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一、组织机构及职责</w:t>
      </w:r>
    </w:p>
    <w:p>
      <w:pPr>
        <w:ind w:firstLine="650"/>
        <w:spacing w:before="167" w:line="304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4"/>
        </w:rPr>
        <w:t>学校设立学生高水平科创竞赛工作专班，由分管学生工作和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8"/>
        </w:rPr>
        <w:t>分管人才培养的校领导担任专班组长，成员由学生工作部</w:t>
      </w:r>
      <w:r>
        <w:rPr>
          <w:rFonts w:ascii="FangSong" w:hAnsi="FangSong" w:eastAsia="FangSong" w:cs="FangSong"/>
          <w:sz w:val="33"/>
          <w:szCs w:val="33"/>
          <w:spacing w:val="-9"/>
        </w:rPr>
        <w:t>(处)、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校团委、教师工作部、教务处、研究生院、人事处、科技处、科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技开发部、招生考试中心等部门负责人组成，各部门协同发力，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共同推进学生高水平科创竞赛高质量发展。</w:t>
      </w:r>
    </w:p>
    <w:p>
      <w:pPr>
        <w:ind w:right="89" w:firstLine="650"/>
        <w:spacing w:before="20" w:line="302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819200</wp:posOffset>
            </wp:positionH>
            <wp:positionV relativeFrom="paragraph">
              <wp:posOffset>713936</wp:posOffset>
            </wp:positionV>
            <wp:extent cx="1714494" cy="1638312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14494" cy="1638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3"/>
          <w:szCs w:val="33"/>
          <w:spacing w:val="-1"/>
        </w:rPr>
        <w:t>在学生工作部(处)和校团委分别设置学生高水平科创竞赛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工作办公室，学生工作部(处)负责“中国国际大学生创新大赛”,</w:t>
      </w:r>
      <w:r>
        <w:rPr>
          <w:rFonts w:ascii="FangSong" w:hAnsi="FangSong" w:eastAsia="FangSong" w:cs="FangSong"/>
          <w:sz w:val="33"/>
          <w:szCs w:val="33"/>
          <w:spacing w:val="1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校团委负责“挑战杯”全国大学生课外学术科技作品竞赛和“挑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战杯”中国大学生创业计划竞赛；办公室主任分别由学生工</w:t>
      </w:r>
      <w:r>
        <w:rPr>
          <w:rFonts w:ascii="FangSong" w:hAnsi="FangSong" w:eastAsia="FangSong" w:cs="FangSong"/>
          <w:sz w:val="33"/>
          <w:szCs w:val="33"/>
          <w:spacing w:val="-15"/>
        </w:rPr>
        <w:t>作部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(处)负责人和校团委负责人兼任，负责赛事的组织执行、宣传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0"/>
        </w:rPr>
        <w:t>推广、沟通协调、推进落实、培训辅导、评审推荐等工作。</w:t>
      </w:r>
    </w:p>
    <w:p>
      <w:pPr>
        <w:ind w:left="650"/>
        <w:spacing w:before="34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</w:rPr>
        <w:t>二、对竞赛获奖学生的奖励</w:t>
      </w:r>
    </w:p>
    <w:p>
      <w:pPr>
        <w:ind w:left="820"/>
        <w:spacing w:before="158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15"/>
        </w:rPr>
        <w:t>(一)奖励金支持</w:t>
      </w:r>
    </w:p>
    <w:p>
      <w:pPr>
        <w:spacing w:line="222" w:lineRule="auto"/>
        <w:sectPr>
          <w:footerReference w:type="default" r:id="rId4"/>
          <w:pgSz w:w="11900" w:h="16820"/>
          <w:pgMar w:top="1429" w:right="1265" w:bottom="1767" w:left="1629" w:header="0" w:footer="1467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pStyle w:val="BodyText"/>
        <w:spacing w:line="453" w:lineRule="auto"/>
        <w:rPr/>
      </w:pPr>
      <w:r/>
    </w:p>
    <w:p>
      <w:pPr>
        <w:ind w:firstLine="660"/>
        <w:spacing w:before="108" w:line="303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</w:rPr>
        <w:t>对于在竞赛中获奖的参赛学生团队，按项目给予奖</w:t>
      </w:r>
      <w:r>
        <w:rPr>
          <w:rFonts w:ascii="FangSong" w:hAnsi="FangSong" w:eastAsia="FangSong" w:cs="FangSong"/>
          <w:sz w:val="33"/>
          <w:szCs w:val="33"/>
          <w:spacing w:val="-1"/>
        </w:rPr>
        <w:t>学金奖</w:t>
      </w:r>
      <w:r>
        <w:rPr>
          <w:rFonts w:ascii="FangSong" w:hAnsi="FangSong" w:eastAsia="FangSong" w:cs="FangSong"/>
          <w:sz w:val="33"/>
          <w:szCs w:val="33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3"/>
        </w:rPr>
        <w:t>励，其中参赛的国际项目奖励金减半；已获赛事奖金的不重复奖</w:t>
      </w:r>
      <w:r>
        <w:rPr>
          <w:rFonts w:ascii="FangSong" w:hAnsi="FangSong" w:eastAsia="FangSong" w:cs="FangSong"/>
          <w:sz w:val="33"/>
          <w:szCs w:val="33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28"/>
        </w:rPr>
        <w:t>励。奖励标准按《福州大学学生文化科技创新创业奖学金实施细则》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4"/>
        </w:rPr>
        <w:t>的</w:t>
      </w:r>
      <w:r>
        <w:rPr>
          <w:rFonts w:ascii="Times New Roman" w:hAnsi="Times New Roman" w:eastAsia="Times New Roman" w:cs="Times New Roman"/>
          <w:sz w:val="33"/>
          <w:szCs w:val="33"/>
          <w:spacing w:val="-24"/>
        </w:rPr>
        <w:t>A+</w:t>
      </w:r>
      <w:r>
        <w:rPr>
          <w:rFonts w:ascii="FangSong" w:hAnsi="FangSong" w:eastAsia="FangSong" w:cs="FangSong"/>
          <w:sz w:val="33"/>
          <w:szCs w:val="33"/>
          <w:spacing w:val="-24"/>
        </w:rPr>
        <w:t>类赛事执行。</w:t>
      </w:r>
    </w:p>
    <w:p>
      <w:pPr>
        <w:ind w:left="790"/>
        <w:spacing w:before="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8"/>
        </w:rPr>
        <w:t>(二)推免资格认定</w:t>
      </w:r>
    </w:p>
    <w:p>
      <w:pPr>
        <w:ind w:right="93" w:firstLine="660"/>
        <w:spacing w:before="204" w:line="311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获得国家级最高奖、次高奖、第三等级奖的学生团队中排名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前三，且学业综合成绩在本专业同年级分别排名前50%(国家级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5"/>
        </w:rPr>
        <w:t>最高奖)、前30%(国家级次高奖)、前20%(国家级第三等级奖)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的本科生(数理综合班、嘉锡化学创新人才实验班等比例调整),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可被认定具备“特殊学术专长或突出培养潜质”的基本</w:t>
      </w:r>
      <w:r>
        <w:rPr>
          <w:rFonts w:ascii="FangSong" w:hAnsi="FangSong" w:eastAsia="FangSong" w:cs="FangSong"/>
          <w:sz w:val="32"/>
          <w:szCs w:val="32"/>
          <w:spacing w:val="-4"/>
        </w:rPr>
        <w:t>条件，免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答辩资格审查，但须参加学院组织的公开答辩，由专家审</w:t>
      </w:r>
      <w:r>
        <w:rPr>
          <w:rFonts w:ascii="FangSong" w:hAnsi="FangSong" w:eastAsia="FangSong" w:cs="FangSong"/>
          <w:sz w:val="32"/>
          <w:szCs w:val="32"/>
          <w:spacing w:val="-3"/>
        </w:rPr>
        <w:t>核小组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和学院推免生遴选工作领导小组研究决定是否推荐，</w:t>
      </w:r>
      <w:r>
        <w:rPr>
          <w:rFonts w:ascii="FangSong" w:hAnsi="FangSong" w:eastAsia="FangSong" w:cs="FangSong"/>
          <w:sz w:val="32"/>
          <w:szCs w:val="32"/>
          <w:spacing w:val="-4"/>
        </w:rPr>
        <w:t>推免指标单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列，依据当年指标总数确定，并在当年度工作通知中公</w:t>
      </w:r>
      <w:r>
        <w:rPr>
          <w:rFonts w:ascii="FangSong" w:hAnsi="FangSong" w:eastAsia="FangSong" w:cs="FangSong"/>
          <w:sz w:val="32"/>
          <w:szCs w:val="32"/>
          <w:spacing w:val="-1"/>
        </w:rPr>
        <w:t>布。</w:t>
      </w:r>
    </w:p>
    <w:p>
      <w:pPr>
        <w:ind w:left="790"/>
        <w:spacing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6"/>
        </w:rPr>
        <w:t>(三)硕博连读优先录取</w:t>
      </w:r>
    </w:p>
    <w:p>
      <w:pPr>
        <w:ind w:right="49" w:firstLine="660"/>
        <w:spacing w:before="215" w:line="291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8"/>
        </w:rPr>
        <w:t>获得国家级最高奖(排位前三)、国家级次高奖(排位前</w:t>
      </w:r>
      <w:r>
        <w:rPr>
          <w:rFonts w:ascii="FangSong" w:hAnsi="FangSong" w:eastAsia="FangSong" w:cs="FangSong"/>
          <w:sz w:val="33"/>
          <w:szCs w:val="33"/>
          <w:spacing w:val="-9"/>
        </w:rPr>
        <w:t>二)、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国家第三等级奖(排位第一)的硕士研究生</w:t>
      </w:r>
      <w:r>
        <w:rPr>
          <w:rFonts w:ascii="FangSong" w:hAnsi="FangSong" w:eastAsia="FangSong" w:cs="FangSong"/>
          <w:sz w:val="33"/>
          <w:szCs w:val="33"/>
          <w:spacing w:val="-2"/>
        </w:rPr>
        <w:t>，在同等条件下，可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优先推荐硕博连读攻读博士研究生。</w:t>
      </w:r>
    </w:p>
    <w:p>
      <w:pPr>
        <w:ind w:left="790"/>
        <w:spacing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"/>
        </w:rPr>
        <w:t>(四)学分奖励</w:t>
      </w:r>
    </w:p>
    <w:p>
      <w:pPr>
        <w:ind w:right="145" w:firstLine="660"/>
        <w:spacing w:before="196" w:line="298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3"/>
        </w:rPr>
        <w:t>在国赛和省赛中获奖的本科生，可根据《福州大学本科生创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新创业实践与素质拓展学分认定管理实施办法》申请相应学</w:t>
      </w:r>
      <w:r>
        <w:rPr>
          <w:rFonts w:ascii="FangSong" w:hAnsi="FangSong" w:eastAsia="FangSong" w:cs="FangSong"/>
          <w:sz w:val="33"/>
          <w:szCs w:val="33"/>
          <w:spacing w:val="-13"/>
        </w:rPr>
        <w:t>分认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定。获奖的研究生可选择顶替培养计划中的1</w:t>
      </w:r>
      <w:r>
        <w:rPr>
          <w:rFonts w:ascii="FangSong" w:hAnsi="FangSong" w:eastAsia="FangSong" w:cs="FangSong"/>
          <w:sz w:val="33"/>
          <w:szCs w:val="33"/>
          <w:spacing w:val="-7"/>
        </w:rPr>
        <w:t>门非学位课选修课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6"/>
        </w:rPr>
        <w:t>程(1学分，成绩记为良好)。</w:t>
      </w:r>
    </w:p>
    <w:p>
      <w:pPr>
        <w:spacing w:line="298" w:lineRule="auto"/>
        <w:sectPr>
          <w:footerReference w:type="default" r:id="rId6"/>
          <w:pgSz w:w="11900" w:h="16820"/>
          <w:pgMar w:top="1429" w:right="1545" w:bottom="1773" w:left="1289" w:header="0" w:footer="143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pStyle w:val="BodyText"/>
        <w:spacing w:line="281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ind w:left="790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1"/>
        </w:rPr>
        <w:t>(五)学术成果认定</w:t>
      </w:r>
    </w:p>
    <w:p>
      <w:pPr>
        <w:ind w:right="220" w:firstLine="660"/>
        <w:spacing w:before="112" w:line="31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获得国家级最高奖、次高奖的项目，经学院学位评定委员会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根据学科领域实际进行认定后，可作为该学院规定的研究生申请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学位的学术成果之一，具体认定细则由学院学位委员会制定。</w:t>
      </w:r>
    </w:p>
    <w:p>
      <w:pPr>
        <w:ind w:left="820"/>
        <w:spacing w:before="19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4"/>
        </w:rPr>
        <w:t>(六)评先评优</w:t>
      </w:r>
    </w:p>
    <w:p>
      <w:pPr>
        <w:ind w:left="50" w:right="140" w:firstLine="609"/>
        <w:spacing w:before="131" w:line="320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</w:rPr>
        <w:t>获得国家级最高奖(排位前三)、国家级次高奖(排位前二)、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国家第三等级奖(排位第一)的本科生和研究生在学生评先评优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方面优先考虑。</w:t>
      </w:r>
    </w:p>
    <w:p>
      <w:pPr>
        <w:ind w:left="660"/>
        <w:spacing w:before="1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"/>
        </w:rPr>
        <w:t>三、对竞赛获奖项目指导教师的奖励</w:t>
      </w:r>
    </w:p>
    <w:p>
      <w:pPr>
        <w:ind w:left="830"/>
        <w:spacing w:before="136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3"/>
        </w:rPr>
        <w:t>(一)绩效奖励</w:t>
      </w:r>
    </w:p>
    <w:p>
      <w:pPr>
        <w:ind w:left="70" w:right="211" w:firstLine="590"/>
        <w:spacing w:before="120" w:line="308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3"/>
        </w:rPr>
        <w:t>指导学生获得竞赛国家级最高奖、次高奖的教师团队，给予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相应的绩效奖励，指导教师及教师团队绩效奖励按照《福州大学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绩效工资实施办法》中教师工作量奖励办法执行。</w:t>
      </w:r>
    </w:p>
    <w:p>
      <w:pPr>
        <w:ind w:left="870"/>
        <w:spacing w:before="1" w:line="2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6"/>
        </w:rPr>
        <w:t>(二)专业成果转换认定</w:t>
      </w:r>
    </w:p>
    <w:p>
      <w:pPr>
        <w:ind w:left="70" w:firstLine="669"/>
        <w:spacing w:before="126" w:line="312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在符合基本申报条件的情况下，自获奖通知发布起两年内，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国家级最高奖项目指导教师(排位第一)作为主持人或第</w:t>
      </w:r>
      <w:r>
        <w:rPr>
          <w:rFonts w:ascii="FangSong" w:hAnsi="FangSong" w:eastAsia="FangSong" w:cs="FangSong"/>
          <w:sz w:val="32"/>
          <w:szCs w:val="32"/>
          <w:spacing w:val="7"/>
        </w:rPr>
        <w:t>一完成</w:t>
      </w:r>
      <w:r>
        <w:rPr>
          <w:rFonts w:ascii="FangSong" w:hAnsi="FangSong" w:eastAsia="FangSong" w:cs="FangSong"/>
          <w:sz w:val="32"/>
          <w:szCs w:val="3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4"/>
        </w:rPr>
        <w:t>人，以该项目相关成果申报项目，可不占名额申报省级教学成果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7"/>
        </w:rPr>
        <w:t>奖(创新创业类)、省级高校教师教学创新大赛、省级本科高校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3"/>
        </w:rPr>
        <w:t>教育教学改革研究重大项目、省级高校思想政治工作精品项目各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3"/>
        </w:rPr>
        <w:t>1次；不占名额立项或认定省级本科高校教育教学改革研究</w:t>
      </w:r>
      <w:r>
        <w:rPr>
          <w:rFonts w:ascii="FangSong" w:hAnsi="FangSong" w:eastAsia="FangSong" w:cs="FangSong"/>
          <w:sz w:val="32"/>
          <w:szCs w:val="32"/>
          <w:spacing w:val="2"/>
        </w:rPr>
        <w:t>一般</w:t>
      </w:r>
      <w:r>
        <w:rPr>
          <w:rFonts w:ascii="FangSong" w:hAnsi="FangSong" w:eastAsia="FangSong" w:cs="FangSong"/>
          <w:sz w:val="32"/>
          <w:szCs w:val="3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4"/>
        </w:rPr>
        <w:t>项目、省级中青年教师教育科研项目、省级本科课程、省级课程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6"/>
        </w:rPr>
        <w:t>思政示范项目各1次。国家级最高奖项目指导教师(排位第二)、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国家级次高奖项目指导教师(排位第一)作为主持人或第一完成</w:t>
      </w:r>
    </w:p>
    <w:p>
      <w:pPr>
        <w:spacing w:line="312" w:lineRule="auto"/>
        <w:sectPr>
          <w:footerReference w:type="default" r:id="rId7"/>
          <w:pgSz w:w="11900" w:h="16820"/>
          <w:pgMar w:top="1429" w:right="1139" w:bottom="1737" w:left="1619" w:header="0" w:footer="143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441" w:lineRule="auto"/>
        <w:rPr/>
      </w:pPr>
      <w:r/>
    </w:p>
    <w:p>
      <w:pPr>
        <w:ind w:right="94"/>
        <w:spacing w:before="104" w:line="317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人，以该项目相关成果申报项目，可不占名额申报省级本科高校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教育教学改革研究一般项目、省级中青年教师教育科研项目、省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级本科课程(创新创业类)、省级课程思政示范项目或省</w:t>
      </w:r>
      <w:r>
        <w:rPr>
          <w:rFonts w:ascii="FangSong" w:hAnsi="FangSong" w:eastAsia="FangSong" w:cs="FangSong"/>
          <w:sz w:val="32"/>
          <w:szCs w:val="32"/>
          <w:spacing w:val="8"/>
        </w:rPr>
        <w:t>级高校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"/>
        </w:rPr>
        <w:t>思想政治工作精品项目各1次。不占名额的指标在各省级申报项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1"/>
        </w:rPr>
        <w:t>目中的比例一般不超过20%。</w:t>
      </w:r>
    </w:p>
    <w:p>
      <w:pPr>
        <w:ind w:right="88" w:firstLine="669"/>
        <w:spacing w:before="1" w:line="304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4"/>
        </w:rPr>
        <w:t>对国赛、省赛获奖项目的指导教师，在年度考核、评优评先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等方面给予倾斜，获得国家级最高奖项目排位前二</w:t>
      </w:r>
      <w:r>
        <w:rPr>
          <w:rFonts w:ascii="FangSong" w:hAnsi="FangSong" w:eastAsia="FangSong" w:cs="FangSong"/>
          <w:sz w:val="33"/>
          <w:szCs w:val="33"/>
          <w:spacing w:val="-15"/>
        </w:rPr>
        <w:t>的指导教师在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同等条件下优先考虑。</w:t>
      </w:r>
    </w:p>
    <w:p>
      <w:pPr>
        <w:ind w:left="810"/>
        <w:spacing w:before="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7"/>
        </w:rPr>
        <w:t>(三)研究生招生指标</w:t>
      </w:r>
    </w:p>
    <w:p>
      <w:pPr>
        <w:ind w:right="89" w:firstLine="669"/>
        <w:spacing w:before="141" w:line="305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"/>
        </w:rPr>
        <w:t>对具备研究生招生资格的国家级最高奖(排位前二)、次高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3"/>
        </w:rPr>
        <w:t>奖项目指导教师(排位第一),在安排下一年度研究生招生指标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8"/>
        </w:rPr>
        <w:t>时予以优先考虑，其中国家级最高奖项目的第一指导老师奖励1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个博士生或1～2个硕士生招生指标。</w:t>
      </w:r>
    </w:p>
    <w:p>
      <w:pPr>
        <w:ind w:left="810"/>
        <w:spacing w:before="2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7"/>
        </w:rPr>
        <w:t>(四)政工干部奖励</w:t>
      </w:r>
    </w:p>
    <w:p>
      <w:pPr>
        <w:ind w:right="91" w:firstLine="669"/>
        <w:spacing w:before="151" w:line="304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8"/>
        </w:rPr>
        <w:t>给予在中国国际大学生创新大赛国赛获奖项目所在学院(含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5"/>
        </w:rPr>
        <w:t>合作学院)的学生政工指导团队绩效奖励，由学生工作部(处)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负责实施。</w:t>
      </w:r>
    </w:p>
    <w:p>
      <w:pPr>
        <w:ind w:left="669"/>
        <w:spacing w:before="13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四、对竞赛获奖项目学院的奖励</w:t>
      </w:r>
    </w:p>
    <w:p>
      <w:pPr>
        <w:ind w:firstLine="669"/>
        <w:spacing w:before="154" w:line="29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0"/>
        </w:rPr>
        <w:t>根据各学院报名和获奖情况，评选“先进集体</w:t>
      </w:r>
      <w:r>
        <w:rPr>
          <w:rFonts w:ascii="FangSong" w:hAnsi="FangSong" w:eastAsia="FangSong" w:cs="FangSong"/>
          <w:sz w:val="33"/>
          <w:szCs w:val="33"/>
          <w:spacing w:val="-11"/>
        </w:rPr>
        <w:t>”奖若干个，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并给予工作经费奖励，由学生工作部(处)、团委分别负责实施。</w:t>
      </w:r>
    </w:p>
    <w:p>
      <w:pPr>
        <w:ind w:left="669"/>
        <w:spacing w:before="35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五、服务与保障</w:t>
      </w:r>
    </w:p>
    <w:p>
      <w:pPr>
        <w:ind w:right="62" w:firstLine="739"/>
        <w:spacing w:before="178" w:line="31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(一)学校党委统筹组织各部门协同发力，依托基金</w:t>
      </w:r>
      <w:r>
        <w:rPr>
          <w:rFonts w:ascii="FangSong" w:hAnsi="FangSong" w:eastAsia="FangSong" w:cs="FangSong"/>
          <w:sz w:val="32"/>
          <w:szCs w:val="32"/>
          <w:spacing w:val="-6"/>
        </w:rPr>
        <w:t>会、校友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办等单位，建立优秀校友企业与学生科技创新资源对</w:t>
      </w:r>
      <w:r>
        <w:rPr>
          <w:rFonts w:ascii="FangSong" w:hAnsi="FangSong" w:eastAsia="FangSong" w:cs="FangSong"/>
          <w:sz w:val="32"/>
          <w:szCs w:val="32"/>
          <w:spacing w:val="-2"/>
        </w:rPr>
        <w:t>接通道。</w:t>
      </w:r>
    </w:p>
    <w:p>
      <w:pPr>
        <w:spacing w:line="311" w:lineRule="auto"/>
        <w:sectPr>
          <w:footerReference w:type="default" r:id="rId8"/>
          <w:pgSz w:w="11900" w:h="16820"/>
          <w:pgMar w:top="1429" w:right="1444" w:bottom="1826" w:left="1470" w:header="0" w:footer="1514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469" w:lineRule="auto"/>
        <w:rPr/>
      </w:pPr>
      <w:r/>
    </w:p>
    <w:p>
      <w:pPr>
        <w:ind w:right="103" w:firstLine="679"/>
        <w:spacing w:before="108" w:line="27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4"/>
        </w:rPr>
        <w:t>(二)学校各部门优化经费支出结构，多渠道统筹</w:t>
      </w:r>
      <w:r>
        <w:rPr>
          <w:rFonts w:ascii="FangSong" w:hAnsi="FangSong" w:eastAsia="FangSong" w:cs="FangSong"/>
          <w:sz w:val="33"/>
          <w:szCs w:val="33"/>
          <w:spacing w:val="-15"/>
        </w:rPr>
        <w:t>预算支持学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生高水平科创竞赛项目培育、专家评审、项目奖金和组织参赛等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工作。</w:t>
      </w:r>
    </w:p>
    <w:p>
      <w:pPr>
        <w:ind w:right="23" w:firstLine="679"/>
        <w:spacing w:before="158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0"/>
        </w:rPr>
        <w:t>(三)学生高水平科创竞赛的工作经费由学生工作部(处)、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校团委分别负责，鼓励各学院设立专项基金，创建学院特色科技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创新支持品牌，对参赛和获奖项目师生给予保障和激励。</w:t>
      </w:r>
    </w:p>
    <w:p>
      <w:pPr>
        <w:ind w:right="47" w:firstLine="739"/>
        <w:spacing w:before="124" w:line="26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1"/>
        </w:rPr>
        <w:t>(四)学生高水平科创竞赛奖励金由学生工作部(处)和校团</w:t>
      </w:r>
      <w:r>
        <w:rPr>
          <w:rFonts w:ascii="FangSong" w:hAnsi="FangSong" w:eastAsia="FangSong" w:cs="FangSong"/>
          <w:sz w:val="35"/>
          <w:szCs w:val="35"/>
          <w:spacing w:val="1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2"/>
        </w:rPr>
        <w:t>委分别认定并发放，指导教师绩效奖励由项目管理归口部门核</w:t>
      </w:r>
      <w:r>
        <w:rPr>
          <w:rFonts w:ascii="FangSong" w:hAnsi="FangSong" w:eastAsia="FangSong" w:cs="FangSong"/>
          <w:sz w:val="35"/>
          <w:szCs w:val="35"/>
          <w:spacing w:val="1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2"/>
        </w:rPr>
        <w:t>定，人事处汇总发放。</w:t>
      </w:r>
    </w:p>
    <w:p>
      <w:pPr>
        <w:ind w:left="679"/>
        <w:spacing w:before="164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六、其他事项</w:t>
      </w:r>
    </w:p>
    <w:p>
      <w:pPr>
        <w:ind w:right="29" w:firstLine="809"/>
        <w:spacing w:before="129" w:line="287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1"/>
        </w:rPr>
        <w:t>(一)本办法的最高奖指中国国际大学生创新大赛国赛金</w:t>
      </w:r>
      <w:r>
        <w:rPr>
          <w:rFonts w:ascii="FangSong" w:hAnsi="FangSong" w:eastAsia="FangSong" w:cs="FangSong"/>
          <w:sz w:val="35"/>
          <w:szCs w:val="35"/>
          <w:spacing w:val="1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奖、“挑战杯”全国大学生课外学术科技作品竞赛国赛特等奖和</w:t>
      </w:r>
      <w:r>
        <w:rPr>
          <w:rFonts w:ascii="FangSong" w:hAnsi="FangSong" w:eastAsia="FangSong" w:cs="FangSong"/>
          <w:sz w:val="35"/>
          <w:szCs w:val="35"/>
          <w:spacing w:val="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1"/>
        </w:rPr>
        <w:t>“挑战杯”中国大学生创业计划竞赛国赛金奖。次高奖、第三等</w:t>
      </w:r>
      <w:r>
        <w:rPr>
          <w:rFonts w:ascii="FangSong" w:hAnsi="FangSong" w:eastAsia="FangSong" w:cs="FangSong"/>
          <w:sz w:val="35"/>
          <w:szCs w:val="35"/>
          <w:spacing w:val="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1"/>
        </w:rPr>
        <w:t>级奖分别指以上赛事的下一等级奖项。</w:t>
      </w:r>
    </w:p>
    <w:p>
      <w:pPr>
        <w:ind w:right="42" w:firstLine="809"/>
        <w:spacing w:before="2" w:line="25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24"/>
        </w:rPr>
        <w:t>(二)学生高水平科创竞赛奖励成果第一署名单位必须为福</w:t>
      </w:r>
      <w:r>
        <w:rPr>
          <w:rFonts w:ascii="FangSong" w:hAnsi="FangSong" w:eastAsia="FangSong" w:cs="FangSong"/>
          <w:sz w:val="35"/>
          <w:szCs w:val="35"/>
          <w:spacing w:val="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州大学。</w:t>
      </w:r>
    </w:p>
    <w:p>
      <w:pPr>
        <w:ind w:firstLine="809"/>
        <w:spacing w:before="129" w:line="28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4"/>
        </w:rPr>
        <w:t>(三)本办法中涉及的项目团队成员排位，以官方印发的获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奖文件或获奖证书为准。同一项目获得不同级别的奖励，</w:t>
      </w:r>
      <w:r>
        <w:rPr>
          <w:rFonts w:ascii="FangSong" w:hAnsi="FangSong" w:eastAsia="FangSong" w:cs="FangSong"/>
          <w:sz w:val="33"/>
          <w:szCs w:val="33"/>
          <w:spacing w:val="-14"/>
        </w:rPr>
        <w:t>奖金按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就高原则进行奖励。学生参加不同竞赛获奖，同类别奖励政策只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"/>
        </w:rPr>
        <w:t>认定1项(原则上计最高奖，可自选)。教师指导不</w:t>
      </w:r>
      <w:r>
        <w:rPr>
          <w:rFonts w:ascii="FangSong" w:hAnsi="FangSong" w:eastAsia="FangSong" w:cs="FangSong"/>
          <w:sz w:val="33"/>
          <w:szCs w:val="33"/>
          <w:spacing w:val="-4"/>
        </w:rPr>
        <w:t>同项目获奖，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奖励绩效可累加，同类别只认定最高一项。</w:t>
      </w:r>
    </w:p>
    <w:p>
      <w:pPr>
        <w:spacing w:line="286" w:lineRule="auto"/>
        <w:sectPr>
          <w:footerReference w:type="default" r:id="rId9"/>
          <w:pgSz w:w="11900" w:h="16820"/>
          <w:pgMar w:top="1429" w:right="1556" w:bottom="1744" w:left="1360" w:header="0" w:footer="1518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pStyle w:val="BodyText"/>
        <w:spacing w:line="464" w:lineRule="auto"/>
        <w:rPr/>
      </w:pPr>
      <w:r/>
    </w:p>
    <w:p>
      <w:pPr>
        <w:ind w:left="629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"/>
        </w:rPr>
        <w:t>七、附则</w:t>
      </w:r>
    </w:p>
    <w:p>
      <w:pPr>
        <w:ind w:firstLine="639"/>
        <w:spacing w:before="111" w:line="324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0"/>
        </w:rPr>
        <w:t>本办法自印发之日起施行，其他有关文件与本办法不</w:t>
      </w:r>
      <w:r>
        <w:rPr>
          <w:rFonts w:ascii="FangSong" w:hAnsi="FangSong" w:eastAsia="FangSong" w:cs="FangSong"/>
          <w:sz w:val="32"/>
          <w:szCs w:val="32"/>
          <w:spacing w:val="9"/>
        </w:rPr>
        <w:t>一致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的，以本办法为准。本办法的具体解释工作由学生工作部(</w:t>
      </w:r>
      <w:r>
        <w:rPr>
          <w:rFonts w:ascii="FangSong" w:hAnsi="FangSong" w:eastAsia="FangSong" w:cs="FangSong"/>
          <w:sz w:val="32"/>
          <w:szCs w:val="32"/>
          <w:spacing w:val="-2"/>
        </w:rPr>
        <w:t>处)、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校团委承担。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>
        <w:pict>
          <v:shape id="_x0000_s2" style="position:absolute;margin-left:4.24835pt;margin-top:11.6066pt;mso-position-vertical-relative:text;mso-position-horizontal-relative:text;width:439.55pt;height:0.5pt;z-index:251665408;" filled="false" strokecolor="#000000" strokeweight="0.50pt" coordsize="8790,10" coordorigin="0,0" path="m0,5l4360,5m4360,5l8790,5e">
            <v:stroke joinstyle="miter" miterlimit="10"/>
          </v:shape>
        </w:pict>
      </w:r>
      <w:r/>
    </w:p>
    <w:p>
      <w:pPr>
        <w:ind w:left="99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pict>
          <v:shape id="_x0000_s4" style="position:absolute;margin-left:4.24835pt;margin-top:24.3345pt;mso-position-vertical-relative:text;mso-position-horizontal-relative:text;width:439.55pt;height:0.5pt;z-index:251664384;" filled="false" strokecolor="#000000" strokeweight="0.50pt" coordsize="8790,10" coordorigin="0,0" path="m0,5l4360,5m4360,5l8790,5e">
            <v:stroke joinstyle="miter" miterlimit="10"/>
          </v:shape>
        </w:pict>
      </w:r>
      <w:r>
        <w:rPr>
          <w:rFonts w:ascii="SimSun" w:hAnsi="SimSun" w:eastAsia="SimSun" w:cs="SimSun"/>
          <w:sz w:val="30"/>
          <w:szCs w:val="30"/>
          <w:spacing w:val="2"/>
        </w:rPr>
        <w:t>福州大学党政办公室                        2025</w:t>
      </w:r>
      <w:r>
        <w:rPr>
          <w:rFonts w:ascii="SimSun" w:hAnsi="SimSun" w:eastAsia="SimSun" w:cs="SimSun"/>
          <w:sz w:val="30"/>
          <w:szCs w:val="30"/>
          <w:spacing w:val="1"/>
        </w:rPr>
        <w:t>年7月8日印发</w:t>
      </w:r>
    </w:p>
    <w:sectPr>
      <w:footerReference w:type="default" r:id="rId10"/>
      <w:pgSz w:w="11900" w:h="16820"/>
      <w:pgMar w:top="1429" w:right="1500" w:bottom="1826" w:left="1470" w:header="0" w:footer="15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80"/>
      <w:spacing w:before="1" w:line="233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9"/>
        <w:w w:val="69"/>
      </w:rPr>
      <w:t>—</w:t>
    </w:r>
    <w:r>
      <w:rPr>
        <w:rFonts w:ascii="SimSun" w:hAnsi="SimSun" w:eastAsia="SimSun" w:cs="SimSun"/>
        <w:sz w:val="26"/>
        <w:szCs w:val="26"/>
        <w:spacing w:val="-21"/>
      </w:rPr>
      <w:t>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14"/>
        <w:w w:val="91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59"/>
      <w:spacing w:line="232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9"/>
        <w:w w:val="67"/>
      </w:rPr>
      <w:t>—</w:t>
    </w:r>
    <w:r>
      <w:rPr>
        <w:rFonts w:ascii="SimSun" w:hAnsi="SimSun" w:eastAsia="SimSun" w:cs="SimSun"/>
        <w:sz w:val="26"/>
        <w:szCs w:val="26"/>
        <w:spacing w:val="-22"/>
      </w:rPr>
      <w:t>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11"/>
        <w:w w:val="90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79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9"/>
        <w:w w:val="73"/>
      </w:rPr>
      <w:t>—</w:t>
    </w:r>
    <w:r>
      <w:rPr>
        <w:rFonts w:ascii="SimSun" w:hAnsi="SimSun" w:eastAsia="SimSun" w:cs="SimSun"/>
        <w:sz w:val="24"/>
        <w:szCs w:val="24"/>
        <w:spacing w:val="-17"/>
      </w:rPr>
      <w:t>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9"/>
      <w:spacing w:line="179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15"/>
        <w:w w:val="62"/>
      </w:rPr>
      <w:t>—</w:t>
    </w:r>
    <w:r>
      <w:rPr>
        <w:rFonts w:ascii="Times New Roman" w:hAnsi="Times New Roman" w:eastAsia="Times New Roman" w:cs="Times New Roman"/>
        <w:sz w:val="25"/>
        <w:szCs w:val="25"/>
        <w:spacing w:val="-6"/>
        <w:w w:val="94"/>
      </w:rPr>
      <w:t>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79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9"/>
        <w:w w:val="73"/>
      </w:rPr>
      <w:t>—</w:t>
    </w:r>
    <w:r>
      <w:rPr>
        <w:rFonts w:ascii="SimSun" w:hAnsi="SimSun" w:eastAsia="SimSun" w:cs="SimSun"/>
        <w:sz w:val="24"/>
        <w:szCs w:val="24"/>
        <w:spacing w:val="-17"/>
      </w:rPr>
      <w:t>7—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image" Target="media/image3.png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footer" Target="footer7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2026-09-11T17:17:18Z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2026-09-11T17:17:18</vt:filetime>
  </property>
  <property fmtid="{D5CDD505-2E9C-101B-9397-08002B2CF9AE}" pid="4" name="UsrData">
    <vt:lpwstr>6aa3c71b2ec56d001fa0237awl</vt:lpwstr>
  </property>
</Properties>
</file>