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北京航空大学电子信息工程学院2025年推荐优秀应届本科毕业生免试攻读研究生工作实施方案</w:t>
      </w:r>
    </w:p>
    <w:p>
      <w:pPr>
        <w:spacing w:after="80" w:lineRule="auto" w:line="360"/>
        <w:ind w:firstLine="482"/>
        <w:jc w:val="both"/>
      </w:pPr>
      <w:r>
        <w:rPr>
          <w:rFonts w:ascii="Times New Roman" w:hAnsi="Times New Roman" w:eastAsia="宋体"/>
          <w:b w:val="0"/>
          <w:sz w:val="24"/>
        </w:rPr>
        <w:t>北京航空大学电子信息工程学院2025年推荐优秀应届本科毕业生免试攻读研究生工作实施方案</w:t>
      </w:r>
    </w:p>
    <w:p>
      <w:pPr>
        <w:spacing w:after="80" w:lineRule="auto" w:line="360"/>
        <w:ind w:firstLine="482"/>
        <w:jc w:val="both"/>
      </w:pPr>
      <w:r>
        <w:rPr>
          <w:rFonts w:ascii="Times New Roman" w:hAnsi="Times New Roman" w:eastAsia="宋体"/>
          <w:b w:val="0"/>
          <w:sz w:val="24"/>
        </w:rPr>
        <w:t>发布日期：2024年9月18日</w:t>
      </w:r>
    </w:p>
    <w:p>
      <w:pPr>
        <w:spacing w:after="80" w:lineRule="auto" w:line="360"/>
        <w:ind w:firstLine="482"/>
        <w:jc w:val="both"/>
      </w:pPr>
      <w:r>
        <w:rPr>
          <w:rFonts w:ascii="Times New Roman" w:hAnsi="Times New Roman" w:eastAsia="宋体"/>
          <w:b w:val="0"/>
          <w:sz w:val="24"/>
        </w:rPr>
        <w:t>电子信息工程学院以习近平新时代中国特色社会主义思想为指导，全面落实全国教育大会精神，紧密围绕落实立德树人根本任务，根据《关于做好2025年推荐优秀应届本科毕业生免试攻读研究生工作的通知》、《北京航空航天大学推荐优秀应届本科毕业生免试攻读研究生工作管理办法》等文件的精神，严格规范执行政策，切实提高推免选拔质量，做好电子信息工程学院2025年推荐优秀应届本科毕业生免试攻读研究生（以下简称“推免”）工作，特制订此实施方案。</w:t>
      </w:r>
    </w:p>
    <w:p>
      <w:pPr>
        <w:spacing w:before="160" w:after="80" w:lineRule="auto" w:line="360"/>
        <w:jc w:val="left"/>
      </w:pPr>
      <w:r>
        <w:rPr>
          <w:rFonts w:ascii="Times New Roman" w:hAnsi="Times New Roman" w:eastAsia="宋体"/>
          <w:b/>
          <w:sz w:val="28"/>
        </w:rPr>
        <w:t>一、组织管理</w:t>
      </w:r>
    </w:p>
    <w:p>
      <w:pPr>
        <w:spacing w:after="80" w:lineRule="auto" w:line="360"/>
        <w:ind w:firstLine="482"/>
        <w:jc w:val="both"/>
      </w:pPr>
      <w:r>
        <w:rPr>
          <w:rFonts w:ascii="Times New Roman" w:hAnsi="Times New Roman" w:eastAsia="宋体"/>
          <w:b w:val="0"/>
          <w:sz w:val="24"/>
        </w:rPr>
        <w:t>学院的推免工作在学校的统一领导下开展。学院成立“推荐优秀应届本科毕业生免试攻读研究生工作领导小组”，落实集体议事和集体决策制度，制定并发布相应的遴选推荐工作细则，公平公正公开地开展推荐工作，负责对学生的申诉、投诉进行调查、核实、处理。工作小组由学院院长、书记、负责本科教学的副院长、负责研究生教学的副院长、负责学生工作的副书记以及其他相关负责人组成，名单如下：</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职务</w:t>
            </w:r>
          </w:p>
        </w:tc>
        <w:tc>
          <w:tcPr>
            <w:tcW w:type="dxa" w:w="2878"/>
          </w:tcPr>
          <w:p>
            <w:pPr>
              <w:spacing w:after="20" w:before="20"/>
            </w:pPr>
            <w:r/>
            <w:r>
              <w:rPr>
                <w:rFonts w:ascii="Times New Roman" w:hAnsi="Times New Roman" w:eastAsia="宋体"/>
                <w:b/>
                <w:sz w:val="21"/>
              </w:rPr>
              <w:t>姓名</w:t>
            </w:r>
          </w:p>
        </w:tc>
        <w:tc>
          <w:tcPr>
            <w:tcW w:type="dxa" w:w="2878"/>
          </w:tcPr>
          <w:p>
            <w:pPr>
              <w:spacing w:after="20" w:before="20"/>
            </w:pPr>
            <w:r/>
            <w:r>
              <w:rPr>
                <w:rFonts w:ascii="Times New Roman" w:hAnsi="Times New Roman" w:eastAsia="宋体"/>
                <w:b/>
                <w:sz w:val="21"/>
              </w:rPr>
              <w:t>学院职务</w:t>
            </w:r>
          </w:p>
        </w:tc>
      </w:tr>
      <w:tr>
        <w:tc>
          <w:tcPr>
            <w:tcW w:type="dxa" w:w="2878"/>
          </w:tcPr>
          <w:p>
            <w:pPr>
              <w:spacing w:after="20" w:before="20"/>
            </w:pPr>
            <w:r/>
            <w:r>
              <w:rPr>
                <w:rFonts w:ascii="Times New Roman" w:hAnsi="Times New Roman" w:eastAsia="宋体"/>
                <w:b w:val="0"/>
                <w:sz w:val="21"/>
              </w:rPr>
              <w:t>组长</w:t>
            </w:r>
          </w:p>
        </w:tc>
        <w:tc>
          <w:tcPr>
            <w:tcW w:type="dxa" w:w="2878"/>
          </w:tcPr>
          <w:p>
            <w:pPr>
              <w:spacing w:after="20" w:before="20"/>
            </w:pPr>
            <w:r/>
            <w:r>
              <w:rPr>
                <w:rFonts w:ascii="Times New Roman" w:hAnsi="Times New Roman" w:eastAsia="宋体"/>
                <w:b w:val="0"/>
                <w:sz w:val="21"/>
              </w:rPr>
              <w:t>徐亚军</w:t>
            </w:r>
          </w:p>
        </w:tc>
        <w:tc>
          <w:tcPr>
            <w:tcW w:type="dxa" w:w="2878"/>
          </w:tcPr>
          <w:p>
            <w:pPr>
              <w:spacing w:after="20" w:before="20"/>
            </w:pPr>
            <w:r/>
            <w:r>
              <w:rPr>
                <w:rFonts w:ascii="Times New Roman" w:hAnsi="Times New Roman" w:eastAsia="宋体"/>
                <w:b w:val="0"/>
                <w:sz w:val="21"/>
              </w:rPr>
              <w:t>分党委书记</w:t>
            </w:r>
          </w:p>
        </w:tc>
      </w:tr>
      <w:tr>
        <w:tc>
          <w:tcPr>
            <w:tcW w:type="dxa" w:w="2878"/>
          </w:tcPr>
          <w:p>
            <w:pPr>
              <w:spacing w:after="20" w:before="20"/>
            </w:pPr>
            <w:r/>
            <w:r>
              <w:rPr>
                <w:rFonts w:ascii="Times New Roman" w:hAnsi="Times New Roman" w:eastAsia="宋体"/>
                <w:b w:val="0"/>
                <w:sz w:val="21"/>
              </w:rPr>
              <w:t>组长</w:t>
            </w:r>
          </w:p>
        </w:tc>
        <w:tc>
          <w:tcPr>
            <w:tcW w:type="dxa" w:w="2878"/>
          </w:tcPr>
          <w:p>
            <w:pPr>
              <w:spacing w:after="20" w:before="20"/>
            </w:pPr>
            <w:r/>
            <w:r>
              <w:rPr>
                <w:rFonts w:ascii="Times New Roman" w:hAnsi="Times New Roman" w:eastAsia="宋体"/>
                <w:b w:val="0"/>
                <w:sz w:val="21"/>
              </w:rPr>
              <w:t>曹先彬</w:t>
            </w:r>
          </w:p>
        </w:tc>
        <w:tc>
          <w:tcPr>
            <w:tcW w:type="dxa" w:w="2878"/>
          </w:tcPr>
          <w:p>
            <w:pPr>
              <w:spacing w:after="20" w:before="20"/>
            </w:pPr>
            <w:r/>
            <w:r>
              <w:rPr>
                <w:rFonts w:ascii="Times New Roman" w:hAnsi="Times New Roman" w:eastAsia="宋体"/>
                <w:b w:val="0"/>
                <w:sz w:val="21"/>
              </w:rPr>
              <w:t>院长</w:t>
            </w:r>
          </w:p>
        </w:tc>
      </w:tr>
      <w:tr>
        <w:tc>
          <w:tcPr>
            <w:tcW w:type="dxa" w:w="2878"/>
          </w:tcPr>
          <w:p>
            <w:pPr>
              <w:spacing w:after="20" w:before="20"/>
            </w:pPr>
            <w:r/>
            <w:r>
              <w:rPr>
                <w:rFonts w:ascii="Times New Roman" w:hAnsi="Times New Roman" w:eastAsia="宋体"/>
                <w:b w:val="0"/>
                <w:sz w:val="21"/>
              </w:rPr>
              <w:t>副组长</w:t>
            </w:r>
          </w:p>
        </w:tc>
        <w:tc>
          <w:tcPr>
            <w:tcW w:type="dxa" w:w="2878"/>
          </w:tcPr>
          <w:p>
            <w:pPr>
              <w:spacing w:after="20" w:before="20"/>
            </w:pPr>
            <w:r/>
            <w:r>
              <w:rPr>
                <w:rFonts w:ascii="Times New Roman" w:hAnsi="Times New Roman" w:eastAsia="宋体"/>
                <w:b w:val="0"/>
                <w:sz w:val="21"/>
              </w:rPr>
              <w:t>徐迈</w:t>
            </w:r>
          </w:p>
        </w:tc>
        <w:tc>
          <w:tcPr>
            <w:tcW w:type="dxa" w:w="2878"/>
          </w:tcPr>
          <w:p>
            <w:pPr>
              <w:spacing w:after="20" w:before="20"/>
            </w:pPr>
            <w:r/>
            <w:r>
              <w:rPr>
                <w:rFonts w:ascii="Times New Roman" w:hAnsi="Times New Roman" w:eastAsia="宋体"/>
                <w:b w:val="0"/>
                <w:sz w:val="21"/>
              </w:rPr>
              <w:t>本科生教学副院长</w:t>
            </w:r>
          </w:p>
        </w:tc>
      </w:tr>
      <w:tr>
        <w:tc>
          <w:tcPr>
            <w:tcW w:type="dxa" w:w="2878"/>
          </w:tcPr>
          <w:p>
            <w:pPr>
              <w:spacing w:after="20" w:before="20"/>
            </w:pPr>
            <w:r/>
            <w:r>
              <w:rPr>
                <w:rFonts w:ascii="Times New Roman" w:hAnsi="Times New Roman" w:eastAsia="宋体"/>
                <w:b w:val="0"/>
                <w:sz w:val="21"/>
              </w:rPr>
              <w:t>成员</w:t>
            </w:r>
          </w:p>
        </w:tc>
        <w:tc>
          <w:tcPr>
            <w:tcW w:type="dxa" w:w="2878"/>
          </w:tcPr>
          <w:p>
            <w:pPr>
              <w:spacing w:after="20" w:before="20"/>
            </w:pPr>
            <w:r/>
            <w:r>
              <w:rPr>
                <w:rFonts w:ascii="Times New Roman" w:hAnsi="Times New Roman" w:eastAsia="宋体"/>
                <w:b w:val="0"/>
                <w:sz w:val="21"/>
              </w:rPr>
              <w:t>姜宇</w:t>
            </w:r>
          </w:p>
        </w:tc>
        <w:tc>
          <w:tcPr>
            <w:tcW w:type="dxa" w:w="2878"/>
          </w:tcPr>
          <w:p>
            <w:pPr>
              <w:spacing w:after="20" w:before="20"/>
            </w:pPr>
            <w:r/>
            <w:r>
              <w:rPr>
                <w:rFonts w:ascii="Times New Roman" w:hAnsi="Times New Roman" w:eastAsia="宋体"/>
                <w:b w:val="0"/>
                <w:sz w:val="21"/>
              </w:rPr>
              <w:t>分党委副书记</w:t>
            </w:r>
          </w:p>
        </w:tc>
      </w:tr>
      <w:tr>
        <w:tc>
          <w:tcPr>
            <w:tcW w:type="dxa" w:w="2878"/>
          </w:tcPr>
          <w:p>
            <w:pPr>
              <w:spacing w:after="20" w:before="20"/>
            </w:pPr>
            <w:r/>
            <w:r>
              <w:rPr>
                <w:rFonts w:ascii="Times New Roman" w:hAnsi="Times New Roman" w:eastAsia="宋体"/>
                <w:b w:val="0"/>
                <w:sz w:val="21"/>
              </w:rPr>
              <w:t>成员</w:t>
            </w:r>
          </w:p>
        </w:tc>
        <w:tc>
          <w:tcPr>
            <w:tcW w:type="dxa" w:w="2878"/>
          </w:tcPr>
          <w:p>
            <w:pPr>
              <w:spacing w:after="20" w:before="20"/>
            </w:pPr>
            <w:r/>
            <w:r>
              <w:rPr>
                <w:rFonts w:ascii="Times New Roman" w:hAnsi="Times New Roman" w:eastAsia="宋体"/>
                <w:b w:val="0"/>
                <w:sz w:val="21"/>
              </w:rPr>
              <w:t>陈杰</w:t>
            </w:r>
          </w:p>
        </w:tc>
        <w:tc>
          <w:tcPr>
            <w:tcW w:type="dxa" w:w="2878"/>
          </w:tcPr>
          <w:p>
            <w:pPr>
              <w:spacing w:after="20" w:before="20"/>
            </w:pPr>
            <w:r/>
            <w:r>
              <w:rPr>
                <w:rFonts w:ascii="Times New Roman" w:hAnsi="Times New Roman" w:eastAsia="宋体"/>
                <w:b w:val="0"/>
                <w:sz w:val="21"/>
              </w:rPr>
              <w:t>研究生教学副院长</w:t>
            </w:r>
          </w:p>
        </w:tc>
      </w:tr>
      <w:tr>
        <w:tc>
          <w:tcPr>
            <w:tcW w:type="dxa" w:w="2878"/>
          </w:tcPr>
          <w:p>
            <w:pPr>
              <w:spacing w:after="20" w:before="20"/>
            </w:pPr>
            <w:r/>
            <w:r>
              <w:rPr>
                <w:rFonts w:ascii="Times New Roman" w:hAnsi="Times New Roman" w:eastAsia="宋体"/>
                <w:b w:val="0"/>
                <w:sz w:val="21"/>
              </w:rPr>
              <w:t>成员</w:t>
            </w:r>
          </w:p>
        </w:tc>
        <w:tc>
          <w:tcPr>
            <w:tcW w:type="dxa" w:w="2878"/>
          </w:tcPr>
          <w:p>
            <w:pPr>
              <w:spacing w:after="20" w:before="20"/>
            </w:pPr>
            <w:r/>
            <w:r>
              <w:rPr>
                <w:rFonts w:ascii="Times New Roman" w:hAnsi="Times New Roman" w:eastAsia="宋体"/>
                <w:b w:val="0"/>
                <w:sz w:val="21"/>
              </w:rPr>
              <w:t>戴飞</w:t>
            </w:r>
          </w:p>
        </w:tc>
        <w:tc>
          <w:tcPr>
            <w:tcW w:type="dxa" w:w="2878"/>
          </w:tcPr>
          <w:p>
            <w:pPr>
              <w:spacing w:after="20" w:before="20"/>
            </w:pPr>
            <w:r/>
            <w:r>
              <w:rPr>
                <w:rFonts w:ascii="Times New Roman" w:hAnsi="Times New Roman" w:eastAsia="宋体"/>
                <w:b w:val="0"/>
                <w:sz w:val="21"/>
              </w:rPr>
              <w:t>行政副院长</w:t>
            </w:r>
          </w:p>
        </w:tc>
      </w:tr>
      <w:tr>
        <w:tc>
          <w:tcPr>
            <w:tcW w:type="dxa" w:w="2878"/>
          </w:tcPr>
          <w:p>
            <w:pPr>
              <w:spacing w:after="20" w:before="20"/>
            </w:pPr>
            <w:r/>
            <w:r>
              <w:rPr>
                <w:rFonts w:ascii="Times New Roman" w:hAnsi="Times New Roman" w:eastAsia="宋体"/>
                <w:b w:val="0"/>
                <w:sz w:val="21"/>
              </w:rPr>
              <w:t>秘书</w:t>
            </w:r>
          </w:p>
        </w:tc>
        <w:tc>
          <w:tcPr>
            <w:tcW w:type="dxa" w:w="2878"/>
          </w:tcPr>
          <w:p>
            <w:pPr>
              <w:spacing w:after="20" w:before="20"/>
            </w:pPr>
            <w:r/>
            <w:r>
              <w:rPr>
                <w:rFonts w:ascii="Times New Roman" w:hAnsi="Times New Roman" w:eastAsia="宋体"/>
                <w:b w:val="0"/>
                <w:sz w:val="21"/>
              </w:rPr>
              <w:t>侯亚荣</w:t>
            </w:r>
          </w:p>
        </w:tc>
        <w:tc>
          <w:tcPr>
            <w:tcW w:type="dxa" w:w="2878"/>
          </w:tcPr>
          <w:p>
            <w:pPr>
              <w:spacing w:after="20" w:before="20"/>
            </w:pPr>
            <w:r/>
            <w:r>
              <w:rPr>
                <w:rFonts w:ascii="Times New Roman" w:hAnsi="Times New Roman" w:eastAsia="宋体"/>
                <w:b w:val="0"/>
                <w:sz w:val="21"/>
              </w:rPr>
              <w:t>—</w:t>
            </w:r>
          </w:p>
        </w:tc>
      </w:tr>
      <w:tr>
        <w:tc>
          <w:tcPr>
            <w:tcW w:type="dxa" w:w="2878"/>
          </w:tcPr>
          <w:p>
            <w:pPr>
              <w:spacing w:after="20" w:before="20"/>
            </w:pPr>
            <w:r/>
            <w:r>
              <w:rPr>
                <w:rFonts w:ascii="Times New Roman" w:hAnsi="Times New Roman" w:eastAsia="宋体"/>
                <w:b w:val="0"/>
                <w:sz w:val="21"/>
              </w:rPr>
              <w:t>秘书</w:t>
            </w:r>
          </w:p>
        </w:tc>
        <w:tc>
          <w:tcPr>
            <w:tcW w:type="dxa" w:w="2878"/>
          </w:tcPr>
          <w:p>
            <w:pPr>
              <w:spacing w:after="20" w:before="20"/>
            </w:pPr>
            <w:r/>
            <w:r>
              <w:rPr>
                <w:rFonts w:ascii="Times New Roman" w:hAnsi="Times New Roman" w:eastAsia="宋体"/>
                <w:b w:val="0"/>
                <w:sz w:val="21"/>
              </w:rPr>
              <w:t>马开元</w:t>
            </w:r>
          </w:p>
        </w:tc>
        <w:tc>
          <w:tcPr>
            <w:tcW w:type="dxa" w:w="2878"/>
          </w:tcPr>
          <w:p>
            <w:pPr>
              <w:spacing w:after="20" w:before="20"/>
            </w:pPr>
            <w:r/>
            <w:r>
              <w:rPr>
                <w:rFonts w:ascii="Times New Roman" w:hAnsi="Times New Roman" w:eastAsia="宋体"/>
                <w:b w:val="0"/>
                <w:sz w:val="21"/>
              </w:rPr>
              <w:t>—</w:t>
            </w:r>
          </w:p>
        </w:tc>
      </w:tr>
      <w:tr>
        <w:tc>
          <w:tcPr>
            <w:tcW w:type="dxa" w:w="2878"/>
          </w:tcPr>
          <w:p>
            <w:pPr>
              <w:spacing w:after="20" w:before="20"/>
            </w:pPr>
            <w:r/>
            <w:r>
              <w:rPr>
                <w:rFonts w:ascii="Times New Roman" w:hAnsi="Times New Roman" w:eastAsia="宋体"/>
                <w:b w:val="0"/>
                <w:sz w:val="21"/>
              </w:rPr>
              <w:t>秘书</w:t>
            </w:r>
          </w:p>
        </w:tc>
        <w:tc>
          <w:tcPr>
            <w:tcW w:type="dxa" w:w="2878"/>
          </w:tcPr>
          <w:p>
            <w:pPr>
              <w:spacing w:after="20" w:before="20"/>
            </w:pPr>
            <w:r/>
            <w:r>
              <w:rPr>
                <w:rFonts w:ascii="Times New Roman" w:hAnsi="Times New Roman" w:eastAsia="宋体"/>
                <w:b w:val="0"/>
                <w:sz w:val="21"/>
              </w:rPr>
              <w:t>吴欣雨</w:t>
            </w:r>
          </w:p>
        </w:tc>
        <w:tc>
          <w:tcPr>
            <w:tcW w:type="dxa" w:w="2878"/>
          </w:tcPr>
          <w:p>
            <w:pPr>
              <w:spacing w:after="20" w:before="20"/>
            </w:pPr>
            <w:r/>
            <w:r>
              <w:rPr>
                <w:rFonts w:ascii="Times New Roman" w:hAnsi="Times New Roman" w:eastAsia="宋体"/>
                <w:b w:val="0"/>
                <w:sz w:val="21"/>
              </w:rPr>
              <w:t>—</w:t>
            </w:r>
          </w:p>
        </w:tc>
      </w:tr>
    </w:tbl>
    <w:p>
      <w:pPr>
        <w:spacing w:before="160" w:after="80" w:lineRule="auto" w:line="360"/>
        <w:jc w:val="left"/>
      </w:pPr>
      <w:r>
        <w:rPr>
          <w:rFonts w:ascii="Times New Roman" w:hAnsi="Times New Roman" w:eastAsia="宋体"/>
          <w:b/>
          <w:sz w:val="28"/>
        </w:rPr>
        <w:t>二、推免原则</w:t>
      </w:r>
    </w:p>
    <w:p>
      <w:pPr>
        <w:spacing w:after="80" w:lineRule="auto" w:line="360"/>
        <w:ind w:firstLine="482"/>
        <w:jc w:val="both"/>
      </w:pPr>
      <w:r>
        <w:rPr>
          <w:rFonts w:ascii="Times New Roman" w:hAnsi="Times New Roman" w:eastAsia="宋体"/>
          <w:b w:val="0"/>
          <w:sz w:val="24"/>
        </w:rPr>
        <w:t>1. 坚持德智体美劳全面衡量，以德为先，把学生的思想品德考核作为推免重要依据，考查学生的政治态度、思想表现、道德品质、科学精神、诚实守信、遵纪守法等方面，思想品德考核不合格者不予推荐。</w:t>
      </w:r>
    </w:p>
    <w:p>
      <w:pPr>
        <w:spacing w:after="80" w:lineRule="auto" w:line="360"/>
        <w:ind w:firstLine="482"/>
        <w:jc w:val="both"/>
      </w:pPr>
      <w:r>
        <w:rPr>
          <w:rFonts w:ascii="Times New Roman" w:hAnsi="Times New Roman" w:eastAsia="宋体"/>
          <w:b w:val="0"/>
          <w:sz w:val="24"/>
        </w:rPr>
        <w:t>2. 推荐工作必须本着公正、公平、公开的原则。严格控制条件，实事求是，择优推荐，保证质量。</w:t>
      </w:r>
    </w:p>
    <w:p>
      <w:pPr>
        <w:spacing w:before="160" w:after="80" w:lineRule="auto" w:line="360"/>
        <w:jc w:val="left"/>
      </w:pPr>
      <w:r>
        <w:rPr>
          <w:rFonts w:ascii="Times New Roman" w:hAnsi="Times New Roman" w:eastAsia="宋体"/>
          <w:b/>
          <w:sz w:val="28"/>
        </w:rPr>
        <w:t>三、推免条件</w:t>
      </w:r>
    </w:p>
    <w:p>
      <w:pPr>
        <w:spacing w:after="80" w:lineRule="auto" w:line="360"/>
        <w:ind w:firstLine="482"/>
        <w:jc w:val="both"/>
      </w:pPr>
      <w:r>
        <w:rPr>
          <w:rFonts w:ascii="Times New Roman" w:hAnsi="Times New Roman" w:eastAsia="宋体"/>
          <w:b w:val="0"/>
          <w:sz w:val="24"/>
        </w:rPr>
        <w:t>学院根据学校下达普通推免计算名额（以下简称“普通名额”）、连续两年优秀生名额（以下简称“优秀生名额”）、其他途径保研名额（以下简称“其他名额”），由学生个人提出申请，学院及相关部门审核，开展推荐工作。</w:t>
      </w:r>
    </w:p>
    <w:p>
      <w:pPr>
        <w:spacing w:after="80" w:lineRule="auto" w:line="360"/>
        <w:ind w:firstLine="482"/>
        <w:jc w:val="both"/>
      </w:pPr>
      <w:r>
        <w:rPr>
          <w:rFonts w:ascii="Times New Roman" w:hAnsi="Times New Roman" w:eastAsia="宋体"/>
          <w:b w:val="0"/>
          <w:sz w:val="24"/>
        </w:rPr>
        <w:t>所有推免生应满足以下条件：</w:t>
      </w:r>
    </w:p>
    <w:p>
      <w:pPr>
        <w:spacing w:after="80" w:lineRule="auto" w:line="360"/>
        <w:ind w:firstLine="482"/>
        <w:jc w:val="both"/>
      </w:pPr>
      <w:r>
        <w:rPr>
          <w:rFonts w:ascii="Times New Roman" w:hAnsi="Times New Roman" w:eastAsia="宋体"/>
          <w:b w:val="0"/>
          <w:sz w:val="24"/>
        </w:rPr>
        <w:t>1. 2021级全日制在籍本科生；</w:t>
      </w:r>
    </w:p>
    <w:p>
      <w:pPr>
        <w:spacing w:after="80" w:lineRule="auto" w:line="360"/>
        <w:ind w:firstLine="482"/>
        <w:jc w:val="both"/>
      </w:pPr>
      <w:r>
        <w:rPr>
          <w:rFonts w:ascii="Times New Roman" w:hAnsi="Times New Roman" w:eastAsia="宋体"/>
          <w:b w:val="0"/>
          <w:sz w:val="24"/>
        </w:rPr>
        <w:t>2. 具有爱国主义情操和集体主义精神，社会主义信念坚定，社会责任感强，遵纪守法，积极向上；</w:t>
      </w:r>
    </w:p>
    <w:p>
      <w:pPr>
        <w:spacing w:after="80" w:lineRule="auto" w:line="360"/>
        <w:ind w:firstLine="482"/>
        <w:jc w:val="both"/>
      </w:pPr>
      <w:r>
        <w:rPr>
          <w:rFonts w:ascii="Times New Roman" w:hAnsi="Times New Roman" w:eastAsia="宋体"/>
          <w:b w:val="0"/>
          <w:sz w:val="24"/>
        </w:rPr>
        <w:t>3. 勤奋学习、刻苦钻研、成绩优秀；学术研究兴趣浓厚，有较强的创新意识、创新能力和专业能力；</w:t>
      </w:r>
    </w:p>
    <w:p>
      <w:pPr>
        <w:spacing w:after="80" w:lineRule="auto" w:line="360"/>
        <w:ind w:firstLine="482"/>
        <w:jc w:val="both"/>
      </w:pPr>
      <w:r>
        <w:rPr>
          <w:rFonts w:ascii="Times New Roman" w:hAnsi="Times New Roman" w:eastAsia="宋体"/>
          <w:b w:val="0"/>
          <w:sz w:val="24"/>
        </w:rPr>
        <w:t>4. 诚实守信、学风端正，无任何考试作弊和剽窃他人学术成果记录，无任何违法违纪受处分情况（在处分期内）；</w:t>
      </w:r>
    </w:p>
    <w:p>
      <w:pPr>
        <w:spacing w:after="80" w:lineRule="auto" w:line="360"/>
        <w:ind w:firstLine="482"/>
        <w:jc w:val="both"/>
      </w:pPr>
      <w:r>
        <w:rPr>
          <w:rFonts w:ascii="Times New Roman" w:hAnsi="Times New Roman" w:eastAsia="宋体"/>
          <w:b w:val="0"/>
          <w:sz w:val="24"/>
        </w:rPr>
        <w:t>5. 原则上未参加过往届推免；</w:t>
      </w:r>
    </w:p>
    <w:p>
      <w:pPr>
        <w:spacing w:after="80" w:lineRule="auto" w:line="360"/>
        <w:ind w:firstLine="482"/>
        <w:jc w:val="both"/>
      </w:pPr>
      <w:r>
        <w:rPr>
          <w:rFonts w:ascii="Times New Roman" w:hAnsi="Times New Roman" w:eastAsia="宋体"/>
          <w:b w:val="0"/>
          <w:sz w:val="24"/>
        </w:rPr>
        <w:t>6. 学校下达的连续两年优秀生；已获得大学前六学期教学计划规定的全部应得学分，且按规定计入推免成绩排名的课程不及格记录不超过1门；通过其他途径保研的学生按其相关规定执行。</w:t>
      </w:r>
    </w:p>
    <w:p>
      <w:pPr>
        <w:spacing w:before="160" w:after="80" w:lineRule="auto" w:line="360"/>
        <w:jc w:val="left"/>
      </w:pPr>
      <w:r>
        <w:rPr>
          <w:rFonts w:ascii="Times New Roman" w:hAnsi="Times New Roman" w:eastAsia="宋体"/>
          <w:b/>
          <w:sz w:val="28"/>
        </w:rPr>
        <w:t>四、推免生评价体系</w:t>
      </w:r>
    </w:p>
    <w:p>
      <w:pPr>
        <w:spacing w:after="80" w:lineRule="auto" w:line="360"/>
        <w:ind w:firstLine="482"/>
        <w:jc w:val="both"/>
      </w:pPr>
      <w:r>
        <w:rPr>
          <w:rFonts w:ascii="Times New Roman" w:hAnsi="Times New Roman" w:eastAsia="宋体"/>
          <w:b w:val="0"/>
          <w:sz w:val="24"/>
        </w:rPr>
        <w:t>学院根据学校下达普通推免计算名额（以下简称“普通名额”）、连续两年优秀生名额（以下简称“优秀生名额”）、其他途径保研名额（以下简称“其他名额”），由学生个人提出申请，学院及相关部门审核，开展推荐工作。</w:t>
      </w:r>
    </w:p>
    <w:p>
      <w:pPr>
        <w:spacing w:after="80" w:lineRule="auto" w:line="360"/>
        <w:ind w:firstLine="482"/>
        <w:jc w:val="both"/>
      </w:pPr>
      <w:r>
        <w:rPr>
          <w:rFonts w:ascii="Times New Roman" w:hAnsi="Times New Roman" w:eastAsia="宋体"/>
          <w:b w:val="0"/>
          <w:sz w:val="24"/>
        </w:rPr>
        <w:t>1. 优秀生名额及其他名额</w:t>
      </w:r>
    </w:p>
    <w:p>
      <w:pPr>
        <w:spacing w:after="80" w:lineRule="auto" w:line="360"/>
        <w:ind w:firstLine="482"/>
        <w:jc w:val="both"/>
      </w:pPr>
      <w:r>
        <w:rPr>
          <w:rFonts w:ascii="Times New Roman" w:hAnsi="Times New Roman" w:eastAsia="宋体"/>
          <w:b w:val="0"/>
          <w:sz w:val="24"/>
        </w:rPr>
        <w:t>优秀生名额、其他名额，优先分配给获奖者本人。如果本人放弃，则名额学校收回。</w:t>
      </w:r>
    </w:p>
    <w:p>
      <w:pPr>
        <w:spacing w:after="80" w:lineRule="auto" w:line="360"/>
        <w:ind w:firstLine="482"/>
        <w:jc w:val="both"/>
      </w:pPr>
      <w:r>
        <w:rPr>
          <w:rFonts w:ascii="Times New Roman" w:hAnsi="Times New Roman" w:eastAsia="宋体"/>
          <w:b w:val="0"/>
          <w:sz w:val="24"/>
        </w:rPr>
        <w:t>2. 普通名额</w:t>
      </w:r>
    </w:p>
    <w:p>
      <w:pPr>
        <w:spacing w:after="80" w:lineRule="auto" w:line="360"/>
        <w:ind w:firstLine="482"/>
        <w:jc w:val="both"/>
      </w:pPr>
      <w:r>
        <w:rPr>
          <w:rFonts w:ascii="Times New Roman" w:hAnsi="Times New Roman" w:eastAsia="宋体"/>
          <w:b w:val="0"/>
          <w:sz w:val="24"/>
        </w:rPr>
        <w:t>普通名额是同学们取得推免资格的主要渠道。为了公平、公正，普通名额进行两轮分配。</w:t>
      </w:r>
    </w:p>
    <w:p>
      <w:pPr>
        <w:spacing w:after="80" w:lineRule="auto" w:line="360"/>
        <w:ind w:firstLine="482"/>
        <w:jc w:val="both"/>
      </w:pPr>
      <w:r>
        <w:rPr>
          <w:rFonts w:ascii="Times New Roman" w:hAnsi="Times New Roman" w:eastAsia="宋体"/>
          <w:b w:val="0"/>
          <w:sz w:val="24"/>
        </w:rPr>
        <w:t>第一轮：根据学校下达名额，依据各专业人数分配各专业名额。各专业择优推荐。</w:t>
      </w:r>
    </w:p>
    <w:p>
      <w:pPr>
        <w:spacing w:after="80" w:lineRule="auto" w:line="360"/>
        <w:ind w:firstLine="482"/>
        <w:jc w:val="both"/>
      </w:pPr>
      <w:r>
        <w:rPr>
          <w:rFonts w:ascii="Times New Roman" w:hAnsi="Times New Roman" w:eastAsia="宋体"/>
          <w:b w:val="0"/>
          <w:sz w:val="24"/>
        </w:rPr>
        <w:t>第二轮：若存在再分配名额，则不再按照专业分配名额，全院统一择优推荐。</w:t>
      </w:r>
    </w:p>
    <w:p>
      <w:pPr>
        <w:spacing w:after="80" w:lineRule="auto" w:line="360"/>
        <w:ind w:firstLine="482"/>
        <w:jc w:val="both"/>
      </w:pPr>
      <w:r>
        <w:rPr>
          <w:rFonts w:ascii="Times New Roman" w:hAnsi="Times New Roman" w:eastAsia="宋体"/>
          <w:b w:val="0"/>
          <w:sz w:val="24"/>
        </w:rPr>
        <w:t>择优过程主要依据反映学生一贯学业表现的加权平均成绩，同时考虑引导学生全面发展的综合量化成绩。</w:t>
      </w:r>
    </w:p>
    <w:p>
      <w:pPr>
        <w:spacing w:after="80" w:lineRule="auto" w:line="360"/>
        <w:ind w:firstLine="482"/>
        <w:jc w:val="both"/>
      </w:pPr>
      <w:r>
        <w:rPr>
          <w:rFonts w:ascii="Times New Roman" w:hAnsi="Times New Roman" w:eastAsia="宋体"/>
          <w:b w:val="0"/>
          <w:sz w:val="24"/>
        </w:rPr>
        <w:t>加权平均成绩：三学年必修课程（通识课程除外）的加权平均成绩，计算方法为：。具体办法参见《电子信息工程学院2025年推荐优秀应届本科毕业生免试攻读研究生工作课程认定及成绩计算细则》（附件1）。</w:t>
      </w:r>
    </w:p>
    <w:p>
      <w:pPr>
        <w:spacing w:after="80" w:lineRule="auto" w:line="360"/>
        <w:ind w:firstLine="482"/>
        <w:jc w:val="both"/>
      </w:pPr>
      <w:r>
        <w:rPr>
          <w:rFonts w:ascii="Times New Roman" w:hAnsi="Times New Roman" w:eastAsia="宋体"/>
          <w:b w:val="0"/>
          <w:sz w:val="24"/>
        </w:rPr>
        <w:t>综合量化成绩：0.15×学生课外综合量化。参见《电子信息工程学院本科生综合素质量化分管理条例（2021级试行版）》（附件2）。</w:t>
      </w:r>
    </w:p>
    <w:p>
      <w:pPr>
        <w:spacing w:after="80" w:lineRule="auto" w:line="360"/>
        <w:ind w:firstLine="482"/>
        <w:jc w:val="both"/>
      </w:pPr>
      <w:r>
        <w:rPr>
          <w:rFonts w:ascii="Times New Roman" w:hAnsi="Times New Roman" w:eastAsia="宋体"/>
          <w:b w:val="0"/>
          <w:sz w:val="24"/>
        </w:rPr>
        <w:t>综合成绩：加权平均成绩+综合量化成绩。</w:t>
      </w:r>
    </w:p>
    <w:p>
      <w:pPr>
        <w:spacing w:after="80" w:lineRule="auto" w:line="360"/>
        <w:ind w:firstLine="482"/>
        <w:jc w:val="both"/>
      </w:pPr>
      <w:r>
        <w:rPr>
          <w:rFonts w:ascii="Times New Roman" w:hAnsi="Times New Roman" w:eastAsia="宋体"/>
          <w:b w:val="0"/>
          <w:sz w:val="24"/>
        </w:rPr>
        <w:t>2.1 确定各专业名额</w:t>
      </w:r>
    </w:p>
    <w:p>
      <w:pPr>
        <w:spacing w:after="80" w:lineRule="auto" w:line="360"/>
        <w:ind w:firstLine="482"/>
        <w:jc w:val="both"/>
      </w:pPr>
      <w:r>
        <w:rPr>
          <w:rFonts w:ascii="Times New Roman" w:hAnsi="Times New Roman" w:eastAsia="宋体"/>
          <w:b w:val="0"/>
          <w:sz w:val="24"/>
        </w:rPr>
        <w:t>根据我院2021级电子信息工程、通信工程、电磁场与无线技术、光电信息科学与工程、集成电路设计与集成系统、电子科学与技术、交通运输（民航信息工程）等7个专业全日制在籍在校本科生数（以下简称在籍学生数，统计时间为2024年9月9日），按各专业在籍学生数比例，依据公平性、选拔性原则分配各专业的推免名额。</w:t>
      </w:r>
    </w:p>
    <w:p>
      <w:pPr>
        <w:spacing w:after="80" w:lineRule="auto" w:line="360"/>
        <w:ind w:firstLine="482"/>
        <w:jc w:val="both"/>
      </w:pPr>
      <w:r>
        <w:rPr>
          <w:rFonts w:ascii="Times New Roman" w:hAnsi="Times New Roman" w:eastAsia="宋体"/>
          <w:b w:val="0"/>
          <w:sz w:val="24"/>
        </w:rPr>
        <w:t>公平性：各专业推免名额=专业在籍学生数÷学院在籍学生数×可分配名额，若计算名额为小数，则取整（舍去小数）作为各专业推免名额。若计算名额小于1，则向上取整为1。</w:t>
      </w:r>
    </w:p>
    <w:p>
      <w:pPr>
        <w:spacing w:after="80" w:lineRule="auto" w:line="360"/>
        <w:ind w:firstLine="482"/>
        <w:jc w:val="both"/>
      </w:pPr>
      <w:r>
        <w:rPr>
          <w:rFonts w:ascii="Times New Roman" w:hAnsi="Times New Roman" w:eastAsia="宋体"/>
          <w:b w:val="0"/>
          <w:sz w:val="24"/>
        </w:rPr>
        <w:t>选拔性：推免生需满足综合成绩位于本专业前25%或专业第一，且综合成绩位于全年级前50%。</w:t>
      </w:r>
    </w:p>
    <w:p>
      <w:pPr>
        <w:spacing w:after="80" w:lineRule="auto" w:line="360"/>
        <w:ind w:firstLine="482"/>
        <w:jc w:val="both"/>
      </w:pPr>
      <w:r>
        <w:rPr>
          <w:rFonts w:ascii="Times New Roman" w:hAnsi="Times New Roman" w:eastAsia="宋体"/>
          <w:b w:val="0"/>
          <w:sz w:val="24"/>
        </w:rPr>
        <w:t>2.2 第一轮名额推荐</w:t>
      </w:r>
    </w:p>
    <w:p>
      <w:pPr>
        <w:spacing w:after="80" w:lineRule="auto" w:line="360"/>
        <w:ind w:firstLine="482"/>
        <w:jc w:val="both"/>
      </w:pPr>
      <w:r>
        <w:rPr>
          <w:rFonts w:ascii="Times New Roman" w:hAnsi="Times New Roman" w:eastAsia="宋体"/>
          <w:b w:val="0"/>
          <w:sz w:val="24"/>
        </w:rPr>
        <w:t>各专业按照综合成绩择优推荐，且被推荐同学需满足“选拔性”条件。</w:t>
      </w:r>
    </w:p>
    <w:p>
      <w:pPr>
        <w:spacing w:after="80" w:lineRule="auto" w:line="360"/>
        <w:ind w:firstLine="482"/>
        <w:jc w:val="both"/>
      </w:pPr>
      <w:r>
        <w:rPr>
          <w:rFonts w:ascii="Times New Roman" w:hAnsi="Times New Roman" w:eastAsia="宋体"/>
          <w:b w:val="0"/>
          <w:sz w:val="24"/>
        </w:rPr>
        <w:t>若本专业被推荐同学放弃该名额，则该名额再行分配。</w:t>
      </w:r>
    </w:p>
    <w:p>
      <w:pPr>
        <w:spacing w:after="80" w:lineRule="auto" w:line="360"/>
        <w:ind w:firstLine="482"/>
        <w:jc w:val="both"/>
      </w:pPr>
      <w:r>
        <w:rPr>
          <w:rFonts w:ascii="Times New Roman" w:hAnsi="Times New Roman" w:eastAsia="宋体"/>
          <w:b w:val="0"/>
          <w:sz w:val="24"/>
        </w:rPr>
        <w:t>2.3 第二轮名额推荐</w:t>
      </w:r>
    </w:p>
    <w:p>
      <w:pPr>
        <w:spacing w:after="80" w:lineRule="auto" w:line="360"/>
        <w:ind w:firstLine="482"/>
        <w:jc w:val="both"/>
      </w:pPr>
      <w:r>
        <w:rPr>
          <w:rFonts w:ascii="Times New Roman" w:hAnsi="Times New Roman" w:eastAsia="宋体"/>
          <w:b w:val="0"/>
          <w:sz w:val="24"/>
        </w:rPr>
        <w:t>普通名额第一轮推荐后的剩余名额，进入第二轮推荐。</w:t>
      </w:r>
    </w:p>
    <w:p>
      <w:pPr>
        <w:spacing w:after="80" w:lineRule="auto" w:line="360"/>
        <w:ind w:firstLine="482"/>
        <w:jc w:val="both"/>
      </w:pPr>
      <w:r>
        <w:rPr>
          <w:rFonts w:ascii="Times New Roman" w:hAnsi="Times New Roman" w:eastAsia="宋体"/>
          <w:b w:val="0"/>
          <w:sz w:val="24"/>
        </w:rPr>
        <w:t>未获得推免名额的2021级同学可参加第二轮推荐。</w:t>
      </w:r>
    </w:p>
    <w:p>
      <w:pPr>
        <w:spacing w:after="80" w:lineRule="auto" w:line="360"/>
        <w:ind w:firstLine="482"/>
        <w:jc w:val="both"/>
      </w:pPr>
      <w:r>
        <w:rPr>
          <w:rFonts w:ascii="Times New Roman" w:hAnsi="Times New Roman" w:eastAsia="宋体"/>
          <w:b w:val="0"/>
          <w:sz w:val="24"/>
        </w:rPr>
        <w:t>第二轮推荐不再分专业进行，按照全年级综合成绩择优推荐。若被推荐的人选主动放弃，则依据综合成绩顺延被推荐人选。</w:t>
      </w:r>
    </w:p>
    <w:p>
      <w:pPr>
        <w:spacing w:before="160" w:after="80" w:lineRule="auto" w:line="360"/>
        <w:jc w:val="left"/>
      </w:pPr>
      <w:r>
        <w:rPr>
          <w:rFonts w:ascii="Times New Roman" w:hAnsi="Times New Roman" w:eastAsia="宋体"/>
          <w:b/>
          <w:sz w:val="28"/>
        </w:rPr>
        <w:t>五、推免程序</w:t>
      </w:r>
    </w:p>
    <w:p>
      <w:pPr>
        <w:spacing w:after="80" w:lineRule="auto" w:line="360"/>
        <w:ind w:firstLine="482"/>
        <w:jc w:val="both"/>
      </w:pPr>
      <w:r>
        <w:rPr>
          <w:rFonts w:ascii="Times New Roman" w:hAnsi="Times New Roman" w:eastAsia="宋体"/>
          <w:b w:val="0"/>
          <w:sz w:val="24"/>
        </w:rPr>
        <w:t>推荐工作具体时间安排：</w:t>
      </w:r>
    </w:p>
    <w:p>
      <w:pPr>
        <w:spacing w:after="80" w:lineRule="auto" w:line="360"/>
        <w:ind w:firstLine="482"/>
        <w:jc w:val="both"/>
      </w:pPr>
      <w:r>
        <w:rPr>
          <w:rFonts w:ascii="Times New Roman" w:hAnsi="Times New Roman" w:eastAsia="宋体"/>
          <w:b w:val="0"/>
          <w:sz w:val="24"/>
        </w:rPr>
        <w:t>1. 9月18日前，学院完成学生课程成绩计算、成绩排名和综合排名，学院公示无异议后，将结果报教务处备案；</w:t>
      </w:r>
    </w:p>
    <w:p>
      <w:pPr>
        <w:spacing w:after="80" w:lineRule="auto" w:line="360"/>
        <w:ind w:firstLine="482"/>
        <w:jc w:val="both"/>
      </w:pPr>
      <w:r>
        <w:rPr>
          <w:rFonts w:ascii="Times New Roman" w:hAnsi="Times New Roman" w:eastAsia="宋体"/>
          <w:b w:val="0"/>
          <w:sz w:val="24"/>
        </w:rPr>
        <w:t>2. 9月18日前，学生提交综合量化核算相关材料至学院学生工作办公室；</w:t>
      </w:r>
    </w:p>
    <w:p>
      <w:pPr>
        <w:spacing w:after="80" w:lineRule="auto" w:line="360"/>
        <w:ind w:firstLine="482"/>
        <w:jc w:val="both"/>
      </w:pPr>
      <w:r>
        <w:rPr>
          <w:rFonts w:ascii="Times New Roman" w:hAnsi="Times New Roman" w:eastAsia="宋体"/>
          <w:b w:val="0"/>
          <w:sz w:val="24"/>
        </w:rPr>
        <w:t>3. 9月20日，学院反馈推免办法和推免清单，并公示（10天）；</w:t>
      </w:r>
    </w:p>
    <w:p>
      <w:pPr>
        <w:spacing w:after="80" w:lineRule="auto" w:line="360"/>
        <w:ind w:firstLine="482"/>
        <w:jc w:val="both"/>
      </w:pPr>
      <w:r>
        <w:rPr>
          <w:rFonts w:ascii="Times New Roman" w:hAnsi="Times New Roman" w:eastAsia="宋体"/>
          <w:b w:val="0"/>
          <w:sz w:val="24"/>
        </w:rPr>
        <w:t>4. 9月23日，完成名单上报。</w:t>
      </w:r>
    </w:p>
    <w:p>
      <w:pPr>
        <w:spacing w:before="160" w:after="80" w:lineRule="auto" w:line="360"/>
        <w:jc w:val="left"/>
      </w:pPr>
      <w:r>
        <w:rPr>
          <w:rFonts w:ascii="Times New Roman" w:hAnsi="Times New Roman" w:eastAsia="宋体"/>
          <w:b/>
          <w:sz w:val="28"/>
        </w:rPr>
        <w:t>六、信息公开</w:t>
      </w:r>
    </w:p>
    <w:p>
      <w:pPr>
        <w:spacing w:after="80" w:lineRule="auto" w:line="360"/>
        <w:ind w:firstLine="482"/>
        <w:jc w:val="both"/>
      </w:pPr>
      <w:r>
        <w:rPr>
          <w:rFonts w:ascii="Times New Roman" w:hAnsi="Times New Roman" w:eastAsia="宋体"/>
          <w:b w:val="0"/>
          <w:sz w:val="24"/>
        </w:rPr>
        <w:t>《北京航空大学电子信息工程学院2025年推荐优秀应届本科毕业生免试攻读研究生管理办法》和推免生名单分别在“北航2025年推免生公示”及电子信息工程学院网站公布。</w:t>
      </w:r>
    </w:p>
    <w:p>
      <w:pPr>
        <w:spacing w:before="160" w:after="80" w:lineRule="auto" w:line="360"/>
        <w:jc w:val="left"/>
      </w:pPr>
      <w:r>
        <w:rPr>
          <w:rFonts w:ascii="Times New Roman" w:hAnsi="Times New Roman" w:eastAsia="宋体"/>
          <w:b/>
          <w:sz w:val="28"/>
        </w:rPr>
        <w:t>七、申诉渠道</w:t>
      </w:r>
    </w:p>
    <w:p>
      <w:pPr>
        <w:spacing w:after="80" w:lineRule="auto" w:line="360"/>
        <w:ind w:firstLine="482"/>
        <w:jc w:val="both"/>
      </w:pPr>
      <w:r>
        <w:rPr>
          <w:rFonts w:ascii="Times New Roman" w:hAnsi="Times New Roman" w:eastAsia="宋体"/>
          <w:b w:val="0"/>
          <w:sz w:val="24"/>
        </w:rPr>
        <w:t>推荐工作咨询部门：电子信息工程学院本科生教学工作办公室，电子邮箱：yrhou@buaa.edu.cn，通讯地址：北京市海淀区学院路37号北京航空航天大学新主楼F807室（电子信息工程学院本科生教学工作办公室），邮编：100191，电话：82317231。</w:t>
      </w:r>
    </w:p>
    <w:p>
      <w:pPr>
        <w:spacing w:after="80" w:lineRule="auto" w:line="360"/>
        <w:ind w:firstLine="482"/>
        <w:jc w:val="both"/>
      </w:pPr>
      <w:r>
        <w:rPr>
          <w:rFonts w:ascii="Times New Roman" w:hAnsi="Times New Roman" w:eastAsia="宋体"/>
          <w:b w:val="0"/>
          <w:sz w:val="24"/>
        </w:rPr>
        <w:t>接收工作咨询部门：电子信息工程学院研究生教学工作办公室，电子邮箱：sunzeyi@buaa.edu.cn，通讯地址：北京市海淀区学院路37号北京航空航天大学新主楼F811室（电子信息工程学院研究生教学工作办公室），邮编：100191，电话：82318348。</w:t>
      </w:r>
    </w:p>
    <w:p>
      <w:pPr>
        <w:spacing w:after="80" w:lineRule="auto" w:line="360"/>
        <w:ind w:firstLine="482"/>
        <w:jc w:val="both"/>
      </w:pPr>
      <w:r>
        <w:rPr>
          <w:rFonts w:ascii="Times New Roman" w:hAnsi="Times New Roman" w:eastAsia="宋体"/>
          <w:b w:val="0"/>
          <w:sz w:val="24"/>
        </w:rPr>
        <w:t>推荐接收申诉部门：电子信息工程学院学生工作办公室，电子邮箱：1328054505@buaa.edu.cn，通讯地址：北京市海淀区学院路37号北京航空航天大学新主楼F702室（电子信息工程学院学生工作办公室），邮编：100191，电话：15393382075。</w:t>
      </w:r>
    </w:p>
    <w:p>
      <w:pPr>
        <w:spacing w:before="160" w:after="80" w:lineRule="auto" w:line="360"/>
        <w:jc w:val="left"/>
      </w:pPr>
      <w:r>
        <w:rPr>
          <w:rFonts w:ascii="Times New Roman" w:hAnsi="Times New Roman" w:eastAsia="宋体"/>
          <w:b/>
          <w:sz w:val="28"/>
        </w:rPr>
        <w:t>八、其他事项</w:t>
      </w:r>
    </w:p>
    <w:p>
      <w:pPr>
        <w:spacing w:after="80" w:lineRule="auto" w:line="360"/>
        <w:ind w:firstLine="482"/>
        <w:jc w:val="both"/>
      </w:pPr>
      <w:r>
        <w:rPr>
          <w:rFonts w:ascii="Times New Roman" w:hAnsi="Times New Roman" w:eastAsia="宋体"/>
          <w:b w:val="0"/>
          <w:sz w:val="24"/>
        </w:rPr>
        <w:t>1. 推荐名额不设置留校限额。所有推免生均享有依据招生政策自主选择报考招生单位和专业的权利，所有推免名额（除有特殊政策要求的相关计划外）均可用于向本校和其他招生单位推荐。推免生名额不区分学术学位和专业学位。</w:t>
      </w:r>
    </w:p>
    <w:p>
      <w:pPr>
        <w:spacing w:after="80" w:lineRule="auto" w:line="360"/>
        <w:ind w:firstLine="482"/>
        <w:jc w:val="both"/>
      </w:pPr>
      <w:r>
        <w:rPr>
          <w:rFonts w:ascii="Times New Roman" w:hAnsi="Times New Roman" w:eastAsia="宋体"/>
          <w:b w:val="0"/>
          <w:sz w:val="24"/>
        </w:rPr>
        <w:t>2. 建立健全回避制度。推免相关工作人员有直系亲属或利益相关人员（如收费辅导教学等）申请参加本学院推免的应主动申请回避，有非直系亲属等报名参加推免的要主动报备。相关学生申请推免资格时也应该主动向学院报备声明，学院汇总后报教务部备案。对未按规定报备声明回避关系且影响推免过程和结果公平公正的学生，学校将取消其推免资格。</w:t>
      </w:r>
    </w:p>
    <w:p>
      <w:pPr>
        <w:spacing w:after="80" w:lineRule="auto" w:line="360"/>
        <w:ind w:firstLine="482"/>
        <w:jc w:val="both"/>
      </w:pPr>
      <w:r>
        <w:rPr>
          <w:rFonts w:ascii="Times New Roman" w:hAnsi="Times New Roman" w:eastAsia="宋体"/>
          <w:b w:val="0"/>
          <w:sz w:val="24"/>
        </w:rPr>
        <w:t>3. 推免工作中如遇其他相关事宜，由学院推荐优秀应届本科毕业生免试攻读研究生工作领导小组商议，并报学校审议决定。</w:t>
      </w:r>
    </w:p>
    <w:p>
      <w:pPr>
        <w:spacing w:after="80" w:lineRule="auto" w:line="360"/>
        <w:ind w:firstLine="482"/>
        <w:jc w:val="both"/>
      </w:pPr>
      <w:r>
        <w:rPr>
          <w:rFonts w:ascii="Times New Roman" w:hAnsi="Times New Roman" w:eastAsia="宋体"/>
          <w:b w:val="0"/>
          <w:sz w:val="24"/>
        </w:rPr>
        <w:t>电子信息工程学院</w:t>
      </w:r>
    </w:p>
    <w:p>
      <w:pPr>
        <w:spacing w:after="80" w:lineRule="auto" w:line="360"/>
        <w:ind w:firstLine="482"/>
        <w:jc w:val="both"/>
      </w:pPr>
      <w:r>
        <w:rPr>
          <w:rFonts w:ascii="Times New Roman" w:hAnsi="Times New Roman" w:eastAsia="宋体"/>
          <w:b w:val="0"/>
          <w:sz w:val="24"/>
        </w:rPr>
        <w:t>2024年9月18日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