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化学学院2026年推荐优秀应届本科毕业生免试攻读研究生遴选工作实施方案-化学学院</w:t>
      </w:r>
    </w:p>
    <w:p>
      <w:pPr>
        <w:spacing w:line="360" w:lineRule="auto" w:before="0" w:after="80"/>
        <w:ind w:firstLine="482"/>
        <w:jc w:val="both"/>
      </w:pPr>
      <w:r>
        <w:rPr>
          <w:rFonts w:ascii="Times New Roman" w:hAnsi="Times New Roman" w:eastAsia="宋体"/>
          <w:b w:val="0"/>
          <w:sz w:val="24"/>
        </w:rPr>
        <w:t>根据《华中农业大学2026年推荐优秀应届本科毕业生免试攻读研究生推荐工作方案》文件精神，为规范推进我院推荐优秀应届本科毕业生免试攻读研究生（以下简称推免）工作，特制定本方案。</w:t>
      </w:r>
    </w:p>
    <w:p>
      <w:pPr>
        <w:spacing w:line="360" w:lineRule="auto" w:before="160" w:after="80"/>
        <w:ind w:firstLine="0"/>
        <w:jc w:val="left"/>
      </w:pPr>
      <w:r>
        <w:rPr>
          <w:rFonts w:ascii="Times New Roman" w:hAnsi="Times New Roman" w:eastAsia="宋体"/>
          <w:b/>
          <w:sz w:val="28"/>
        </w:rPr>
        <w:t>一、组织领导</w:t>
      </w:r>
    </w:p>
    <w:p>
      <w:pPr>
        <w:spacing w:line="360" w:lineRule="auto" w:before="160" w:after="80"/>
        <w:ind w:firstLine="0"/>
        <w:jc w:val="left"/>
      </w:pPr>
      <w:r>
        <w:rPr>
          <w:rFonts w:ascii="Times New Roman" w:hAnsi="Times New Roman" w:eastAsia="宋体"/>
          <w:b/>
          <w:sz w:val="28"/>
        </w:rPr>
        <w:t>1.推免工作领导小组</w:t>
      </w:r>
    </w:p>
    <w:p>
      <w:pPr>
        <w:spacing w:line="360" w:lineRule="auto" w:before="120" w:after="60"/>
        <w:ind w:firstLine="0"/>
        <w:jc w:val="left"/>
      </w:pPr>
      <w:r>
        <w:rPr>
          <w:rFonts w:ascii="Times New Roman" w:hAnsi="Times New Roman" w:eastAsia="宋体"/>
          <w:b/>
          <w:sz w:val="24"/>
        </w:rPr>
        <w:t>组长：涂俊才 曹菲菲</w:t>
      </w:r>
    </w:p>
    <w:p>
      <w:pPr>
        <w:spacing w:line="360" w:lineRule="auto" w:before="120" w:after="60"/>
        <w:ind w:firstLine="0"/>
        <w:jc w:val="left"/>
      </w:pPr>
      <w:r>
        <w:rPr>
          <w:rFonts w:ascii="Times New Roman" w:hAnsi="Times New Roman" w:eastAsia="宋体"/>
          <w:b/>
          <w:sz w:val="24"/>
        </w:rPr>
        <w:t>成员：陈华伟 曹敏惠 周静舫 梁建功</w:t>
      </w:r>
    </w:p>
    <w:p>
      <w:pPr>
        <w:spacing w:line="360" w:lineRule="auto" w:before="160" w:after="80"/>
        <w:ind w:firstLine="0"/>
        <w:jc w:val="left"/>
      </w:pPr>
      <w:r>
        <w:rPr>
          <w:rFonts w:ascii="Times New Roman" w:hAnsi="Times New Roman" w:eastAsia="宋体"/>
          <w:b/>
          <w:sz w:val="28"/>
        </w:rPr>
        <w:t>2.专家审核小组</w:t>
      </w:r>
    </w:p>
    <w:p>
      <w:pPr>
        <w:spacing w:line="360" w:lineRule="auto" w:before="120" w:after="60"/>
        <w:ind w:firstLine="0"/>
        <w:jc w:val="left"/>
      </w:pPr>
      <w:r>
        <w:rPr>
          <w:rFonts w:ascii="Times New Roman" w:hAnsi="Times New Roman" w:eastAsia="宋体"/>
          <w:b/>
          <w:sz w:val="24"/>
        </w:rPr>
        <w:t>组长：梁建功</w:t>
      </w:r>
    </w:p>
    <w:p>
      <w:pPr>
        <w:spacing w:line="360" w:lineRule="auto" w:before="0" w:after="80"/>
        <w:ind w:firstLine="482"/>
        <w:jc w:val="both"/>
      </w:pPr>
      <w:r>
        <w:rPr>
          <w:rFonts w:ascii="Times New Roman" w:hAnsi="Times New Roman" w:eastAsia="宋体"/>
          <w:b w:val="0"/>
          <w:sz w:val="24"/>
        </w:rPr>
        <w:t>成员：项勇刚 江 洪 李胜清 岳霞丽 滕怀龙 叶 欢 李 庆</w:t>
      </w:r>
    </w:p>
    <w:p>
      <w:pPr>
        <w:spacing w:line="360" w:lineRule="auto" w:before="160" w:after="80"/>
        <w:ind w:firstLine="0"/>
        <w:jc w:val="left"/>
      </w:pPr>
      <w:r>
        <w:rPr>
          <w:rFonts w:ascii="Times New Roman" w:hAnsi="Times New Roman" w:eastAsia="宋体"/>
          <w:b/>
          <w:sz w:val="28"/>
        </w:rPr>
        <w:t>二、推免生指标分配</w:t>
      </w:r>
    </w:p>
    <w:p>
      <w:pPr>
        <w:spacing w:line="360" w:lineRule="auto" w:before="0" w:after="80"/>
        <w:ind w:firstLine="482"/>
        <w:jc w:val="both"/>
      </w:pPr>
      <w:r>
        <w:rPr>
          <w:rFonts w:ascii="Times New Roman" w:hAnsi="Times New Roman" w:eastAsia="宋体"/>
          <w:b w:val="0"/>
          <w:sz w:val="24"/>
        </w:rPr>
        <w:t>学校下达化学学院应用化学专业推免生指标共22名。研究生支教团、辅导员专项等各类专项推免计划，另有指标，由学校统一实施。</w:t>
      </w:r>
    </w:p>
    <w:p>
      <w:pPr>
        <w:spacing w:line="360" w:lineRule="auto" w:before="160" w:after="80"/>
        <w:ind w:firstLine="0"/>
        <w:jc w:val="left"/>
      </w:pPr>
      <w:r>
        <w:rPr>
          <w:rFonts w:ascii="Times New Roman" w:hAnsi="Times New Roman" w:eastAsia="宋体"/>
          <w:b/>
          <w:sz w:val="28"/>
        </w:rPr>
        <w:t>三、申请基本条件</w:t>
      </w:r>
    </w:p>
    <w:p>
      <w:pPr>
        <w:spacing w:line="360" w:lineRule="auto" w:before="0" w:after="80"/>
        <w:ind w:firstLine="482"/>
        <w:jc w:val="both"/>
      </w:pPr>
      <w:r>
        <w:rPr>
          <w:rFonts w:ascii="Times New Roman" w:hAnsi="Times New Roman" w:eastAsia="宋体"/>
          <w:b w:val="0"/>
          <w:sz w:val="24"/>
        </w:rPr>
        <w:t>推免生申请者应是我院2026届本科毕业生，且同时具备以下基本条件：</w:t>
      </w:r>
    </w:p>
    <w:p>
      <w:pPr>
        <w:spacing w:line="360" w:lineRule="auto" w:before="160" w:after="80"/>
        <w:ind w:firstLine="0"/>
        <w:jc w:val="left"/>
      </w:pPr>
      <w:r>
        <w:rPr>
          <w:rFonts w:ascii="Times New Roman" w:hAnsi="Times New Roman" w:eastAsia="宋体"/>
          <w:b/>
          <w:sz w:val="28"/>
        </w:rPr>
        <w:t>1.坚持中国共产党的领导，社会主义信念坚定，有高尚的爱国主义情操和集体主义精神，社会责任感强，积极向上，身心健康；</w:t>
      </w:r>
    </w:p>
    <w:p>
      <w:pPr>
        <w:spacing w:line="360" w:lineRule="auto" w:before="160" w:after="80"/>
        <w:ind w:firstLine="0"/>
        <w:jc w:val="left"/>
      </w:pPr>
      <w:r>
        <w:rPr>
          <w:rFonts w:ascii="Times New Roman" w:hAnsi="Times New Roman" w:eastAsia="宋体"/>
          <w:b/>
          <w:sz w:val="28"/>
        </w:rPr>
        <w:t>2.遵纪守法，品行优良，无任何违法违纪受处分记录；</w:t>
      </w:r>
    </w:p>
    <w:p>
      <w:pPr>
        <w:spacing w:line="360" w:lineRule="auto" w:before="160" w:after="80"/>
        <w:ind w:firstLine="0"/>
        <w:jc w:val="left"/>
      </w:pPr>
      <w:r>
        <w:rPr>
          <w:rFonts w:ascii="Times New Roman" w:hAnsi="Times New Roman" w:eastAsia="宋体"/>
          <w:b/>
          <w:sz w:val="28"/>
        </w:rPr>
        <w:t>3.诚实守信，学风端正，无任何考试作弊和学术不端行为；</w:t>
      </w:r>
    </w:p>
    <w:p>
      <w:pPr>
        <w:spacing w:line="360" w:lineRule="auto" w:before="0" w:after="80"/>
        <w:ind w:firstLine="482"/>
        <w:jc w:val="both"/>
      </w:pPr>
      <w:r>
        <w:rPr>
          <w:rFonts w:ascii="Times New Roman" w:hAnsi="Times New Roman" w:eastAsia="宋体"/>
          <w:b w:val="0"/>
          <w:sz w:val="24"/>
        </w:rPr>
        <w:t>4.通过国家大学英语四级考试（小语种学生达到本科毕业相关要求），大学期间所修课程平均学分绩点（GPA）专业排名原则上在前40%（含）；新疆和西藏地区少数民族学生平均学分绩点（GPA）专业排名可放宽至前45%（含）。</w:t>
      </w:r>
    </w:p>
    <w:p>
      <w:pPr>
        <w:spacing w:line="360" w:lineRule="auto" w:before="160" w:after="80"/>
        <w:ind w:firstLine="0"/>
        <w:jc w:val="left"/>
      </w:pPr>
      <w:r>
        <w:rPr>
          <w:rFonts w:ascii="Times New Roman" w:hAnsi="Times New Roman" w:eastAsia="宋体"/>
          <w:b/>
          <w:sz w:val="28"/>
        </w:rPr>
        <w:t>四、综合成绩</w:t>
      </w:r>
    </w:p>
    <w:p>
      <w:pPr>
        <w:spacing w:line="360" w:lineRule="auto" w:before="0" w:after="80"/>
        <w:ind w:firstLine="482"/>
        <w:jc w:val="both"/>
      </w:pPr>
      <w:r>
        <w:rPr>
          <w:rFonts w:ascii="Times New Roman" w:hAnsi="Times New Roman" w:eastAsia="宋体"/>
          <w:b w:val="0"/>
          <w:sz w:val="24"/>
        </w:rPr>
        <w:t>推免指标按照学生综合成绩排名进行分配（本排名仅作为推免资格排名用）。综合成绩计算如下：</w:t>
      </w:r>
    </w:p>
    <w:p>
      <w:pPr>
        <w:spacing w:line="360" w:lineRule="auto" w:before="160" w:after="80"/>
        <w:ind w:firstLine="0"/>
        <w:jc w:val="left"/>
      </w:pPr>
      <w:r>
        <w:rPr>
          <w:rFonts w:ascii="Times New Roman" w:hAnsi="Times New Roman" w:eastAsia="宋体"/>
          <w:b/>
          <w:sz w:val="28"/>
        </w:rPr>
        <w:t>（一）综合成绩</w:t>
      </w:r>
    </w:p>
    <w:p>
      <w:pPr>
        <w:spacing w:line="360" w:lineRule="auto" w:before="0" w:after="80"/>
        <w:ind w:firstLine="482"/>
        <w:jc w:val="both"/>
      </w:pPr>
      <w:r>
        <w:rPr>
          <w:rFonts w:ascii="Times New Roman" w:hAnsi="Times New Roman" w:eastAsia="宋体"/>
          <w:b w:val="0"/>
          <w:sz w:val="24"/>
        </w:rPr>
        <w:t>综合成绩=绩点成绩×90％+素质评价成绩×10％。</w:t>
      </w:r>
    </w:p>
    <w:p>
      <w:pPr>
        <w:spacing w:line="360" w:lineRule="auto" w:before="160" w:after="80"/>
        <w:ind w:firstLine="0"/>
        <w:jc w:val="left"/>
      </w:pPr>
      <w:r>
        <w:rPr>
          <w:rFonts w:ascii="Times New Roman" w:hAnsi="Times New Roman" w:eastAsia="宋体"/>
          <w:b/>
          <w:sz w:val="28"/>
        </w:rPr>
        <w:t>（二）绩点成绩</w:t>
      </w:r>
    </w:p>
    <w:p>
      <w:pPr>
        <w:spacing w:line="360" w:lineRule="auto" w:before="0" w:after="80"/>
        <w:ind w:firstLine="482"/>
        <w:jc w:val="both"/>
      </w:pPr>
      <w:r>
        <w:rPr>
          <w:rFonts w:ascii="Times New Roman" w:hAnsi="Times New Roman" w:eastAsia="宋体"/>
          <w:b w:val="0"/>
          <w:sz w:val="24"/>
        </w:rPr>
        <w:t>学生在校期间课程的平均学分绩点（GPA）取3位小数折合为百分制：</w:t>
      </w:r>
    </w:p>
    <w:p>
      <w:pPr>
        <w:spacing w:line="360" w:lineRule="auto" w:before="120" w:after="60"/>
        <w:ind w:firstLine="0"/>
        <w:jc w:val="left"/>
      </w:pPr>
      <w:r>
        <w:rPr>
          <w:rFonts w:ascii="Times New Roman" w:hAnsi="Times New Roman" w:eastAsia="宋体"/>
          <w:b/>
          <w:sz w:val="24"/>
        </w:rPr>
        <w:t>绩点成绩=GPA/4×100</w:t>
      </w:r>
    </w:p>
    <w:p>
      <w:pPr>
        <w:spacing w:line="360" w:lineRule="auto" w:before="0" w:after="80"/>
        <w:ind w:firstLine="482"/>
        <w:jc w:val="both"/>
      </w:pPr>
      <w:r>
        <w:rPr>
          <w:rFonts w:ascii="Times New Roman" w:hAnsi="Times New Roman" w:eastAsia="宋体"/>
          <w:b w:val="0"/>
          <w:sz w:val="24"/>
        </w:rPr>
        <w:t>如学生A的绩点成绩=3.500/4×100=87.500</w:t>
      </w:r>
    </w:p>
    <w:p>
      <w:pPr>
        <w:spacing w:line="360" w:lineRule="auto" w:before="160" w:after="80"/>
        <w:ind w:firstLine="0"/>
        <w:jc w:val="left"/>
      </w:pPr>
      <w:r>
        <w:rPr>
          <w:rFonts w:ascii="Times New Roman" w:hAnsi="Times New Roman" w:eastAsia="宋体"/>
          <w:b/>
          <w:sz w:val="28"/>
        </w:rPr>
        <w:t>（三）素质评价成绩</w:t>
      </w:r>
    </w:p>
    <w:p>
      <w:pPr>
        <w:spacing w:line="360" w:lineRule="auto" w:before="0" w:after="80"/>
        <w:ind w:firstLine="482"/>
        <w:jc w:val="both"/>
      </w:pPr>
      <w:r>
        <w:rPr>
          <w:rFonts w:ascii="Times New Roman" w:hAnsi="Times New Roman" w:eastAsia="宋体"/>
          <w:b w:val="0"/>
          <w:sz w:val="24"/>
        </w:rPr>
        <w:t>学生的素质评价成绩按素质能力得分除以本专业最高素质与能力得分取3位小数折合为百分制：</w:t>
      </w:r>
    </w:p>
    <w:p>
      <w:pPr>
        <w:spacing w:line="360" w:lineRule="auto" w:before="0" w:after="80"/>
        <w:ind w:firstLine="482"/>
        <w:jc w:val="both"/>
      </w:pPr>
      <w:r>
        <w:rPr>
          <w:rFonts w:ascii="Times New Roman" w:hAnsi="Times New Roman" w:eastAsia="宋体"/>
          <w:b w:val="0"/>
          <w:sz w:val="24"/>
        </w:rPr>
        <w:t>素质评价成绩=素质与能力分值/专业最高素质与能力分值×100</w:t>
      </w:r>
    </w:p>
    <w:p>
      <w:pPr>
        <w:spacing w:line="360" w:lineRule="auto" w:before="0" w:after="80"/>
        <w:ind w:firstLine="482"/>
        <w:jc w:val="both"/>
      </w:pPr>
      <w:r>
        <w:rPr>
          <w:rFonts w:ascii="Times New Roman" w:hAnsi="Times New Roman" w:eastAsia="宋体"/>
          <w:b w:val="0"/>
          <w:sz w:val="24"/>
        </w:rPr>
        <w:t>专业最高素质与能力分值是指所在专业本届学生中取得的素质与能力分值的最高分。</w:t>
      </w:r>
    </w:p>
    <w:p>
      <w:pPr>
        <w:spacing w:line="360" w:lineRule="auto" w:before="0" w:after="80"/>
        <w:ind w:firstLine="482"/>
        <w:jc w:val="both"/>
      </w:pPr>
      <w:r>
        <w:rPr>
          <w:rFonts w:ascii="Times New Roman" w:hAnsi="Times New Roman" w:eastAsia="宋体"/>
          <w:b w:val="0"/>
          <w:sz w:val="24"/>
        </w:rPr>
        <w:t>如专业最高素质与能力分值为47，学生A素质与能力分值为32，学生A素质评价成绩=32/47*100=68.085。</w:t>
      </w:r>
    </w:p>
    <w:p>
      <w:pPr>
        <w:spacing w:line="360" w:lineRule="auto" w:before="0" w:after="80"/>
        <w:ind w:firstLine="482"/>
        <w:jc w:val="both"/>
      </w:pPr>
      <w:r>
        <w:rPr>
          <w:rFonts w:ascii="Times New Roman" w:hAnsi="Times New Roman" w:eastAsia="宋体"/>
          <w:b w:val="0"/>
          <w:sz w:val="24"/>
        </w:rPr>
        <w:t>素质与能力加分项计算时效必须为入校后至申请推免当年9月1日止。如果同一项成果活动获得不同级别奖励，按最高分计，不重复计算。若加分项目由单人完成，按相应项加分；若加分项目由多人（团队）完成，依据证明材料，排名第1位的，按相应项加满分的1/2加分，排名第2位的，按满分的1/4加分，排名第3位的，按满分的1/8加分，团队其他成员以此类推加分，分值保留3位小数。</w:t>
      </w:r>
    </w:p>
    <w:p>
      <w:pPr>
        <w:spacing w:line="360" w:lineRule="auto" w:before="0" w:after="80"/>
        <w:ind w:firstLine="482"/>
        <w:jc w:val="both"/>
      </w:pPr>
      <w:r>
        <w:rPr>
          <w:rFonts w:ascii="Times New Roman" w:hAnsi="Times New Roman" w:eastAsia="宋体"/>
          <w:b w:val="0"/>
          <w:sz w:val="24"/>
        </w:rPr>
        <w:t>素质与能力加分项相应材料由学院推免工作专家审核小组审核，排除抄袭、造假、冒名及有名无实等情况，组织相关学生在一定范围内进行公开答辩，答辩过程及结果要公开公示。</w:t>
      </w:r>
    </w:p>
    <w:p>
      <w:pPr>
        <w:spacing w:line="360" w:lineRule="auto" w:before="0" w:after="80"/>
        <w:ind w:firstLine="482"/>
        <w:jc w:val="both"/>
      </w:pPr>
      <w:r>
        <w:rPr>
          <w:rFonts w:ascii="Times New Roman" w:hAnsi="Times New Roman" w:eastAsia="宋体"/>
          <w:b w:val="0"/>
          <w:sz w:val="24"/>
        </w:rPr>
        <w:t>学生与直系亲属或学历、职权、职务明显高于本人者合作的科研成果、竞赛奖项等仅作为参考，不纳入学生本人综合成绩计算体系，同等条件下可优先考虑。</w:t>
      </w:r>
    </w:p>
    <w:p>
      <w:pPr>
        <w:spacing w:line="360" w:lineRule="auto" w:before="0" w:after="80"/>
        <w:ind w:firstLine="482"/>
        <w:jc w:val="both"/>
      </w:pPr>
      <w:r>
        <w:rPr>
          <w:rFonts w:ascii="Times New Roman" w:hAnsi="Times New Roman" w:eastAsia="宋体"/>
          <w:b w:val="0"/>
          <w:sz w:val="24"/>
        </w:rPr>
        <w:t>素质与能力加分项分值计算标准如下：</w:t>
      </w:r>
    </w:p>
    <w:p>
      <w:pPr>
        <w:spacing w:line="360" w:lineRule="auto" w:before="160" w:after="80"/>
        <w:ind w:firstLine="0"/>
        <w:jc w:val="left"/>
      </w:pPr>
      <w:r>
        <w:rPr>
          <w:rFonts w:ascii="Times New Roman" w:hAnsi="Times New Roman" w:eastAsia="宋体"/>
          <w:b/>
          <w:sz w:val="28"/>
        </w:rPr>
        <w:t>1.学术成果奖励分</w:t>
      </w:r>
    </w:p>
    <w:p>
      <w:pPr>
        <w:spacing w:line="360" w:lineRule="auto" w:before="160" w:after="80"/>
        <w:ind w:firstLine="0"/>
        <w:jc w:val="left"/>
      </w:pPr>
      <w:r>
        <w:rPr>
          <w:rFonts w:ascii="Times New Roman" w:hAnsi="Times New Roman" w:eastAsia="宋体"/>
          <w:b/>
          <w:sz w:val="28"/>
        </w:rPr>
        <w:t>（1）学术论文奖励分</w:t>
      </w:r>
    </w:p>
    <w:p>
      <w:pPr>
        <w:spacing w:line="360" w:lineRule="auto" w:before="0" w:after="80"/>
        <w:ind w:firstLine="482"/>
        <w:jc w:val="both"/>
      </w:pPr>
      <w:r>
        <w:rPr>
          <w:rFonts w:ascii="Times New Roman" w:hAnsi="Times New Roman" w:eastAsia="宋体"/>
          <w:b w:val="0"/>
          <w:sz w:val="24"/>
        </w:rPr>
        <w:t>学生本科期间发表学术论文，项目分值参考表-1。要求在北大中文核心期刊及以上以独立作者或第一作者发表与学业相关的学术论文（如是共同第一作者，除去指导老师，按团队形式加分），且第一完成单位或通讯作者单位必须为华中农业大学。所有论文加分应有出版刊物或录用通知证明（即有DOI号并且提供原始记录及相关证明），会议论文不在加分范围内。若学生本科期间发表重大学术成果，由学院推免工作专家审核小组审核认定加分。</w:t>
      </w:r>
    </w:p>
    <w:p>
      <w:pPr>
        <w:spacing w:line="360" w:lineRule="auto" w:before="120" w:after="60"/>
        <w:ind w:firstLine="0"/>
        <w:jc w:val="left"/>
      </w:pPr>
      <w:r>
        <w:rPr>
          <w:rFonts w:ascii="Times New Roman" w:hAnsi="Times New Roman" w:eastAsia="宋体"/>
          <w:b/>
          <w:sz w:val="24"/>
        </w:rPr>
        <w:t>表-1</w:t>
      </w:r>
    </w:p>
    <w:p>
      <w:pPr>
        <w:spacing w:line="360" w:lineRule="auto" w:before="120" w:after="60"/>
        <w:ind w:firstLine="0"/>
        <w:jc w:val="left"/>
      </w:pPr>
      <w:r>
        <w:rPr>
          <w:rFonts w:ascii="Times New Roman" w:hAnsi="Times New Roman" w:eastAsia="宋体"/>
          <w:b/>
          <w:sz w:val="24"/>
        </w:rPr>
        <w:t>华中农业大学期刊分级目录中的期刊</w:t>
      </w:r>
    </w:p>
    <w:p>
      <w:pPr>
        <w:spacing w:line="360" w:lineRule="auto" w:before="120" w:after="60"/>
        <w:ind w:firstLine="0"/>
        <w:jc w:val="left"/>
      </w:pPr>
      <w:r>
        <w:rPr>
          <w:rFonts w:ascii="Times New Roman" w:hAnsi="Times New Roman" w:eastAsia="宋体"/>
          <w:b/>
          <w:sz w:val="24"/>
        </w:rPr>
        <w:t>非华中农业大学期刊分级目录所属的SCI、EI期刊</w:t>
      </w:r>
    </w:p>
    <w:p>
      <w:pPr>
        <w:spacing w:line="360" w:lineRule="auto" w:before="120" w:after="60"/>
        <w:ind w:firstLine="0"/>
        <w:jc w:val="left"/>
      </w:pPr>
      <w:r>
        <w:rPr>
          <w:rFonts w:ascii="Times New Roman" w:hAnsi="Times New Roman" w:eastAsia="宋体"/>
          <w:b/>
          <w:sz w:val="24"/>
        </w:rPr>
        <w:t>CSCD收录期刊</w:t>
      </w:r>
    </w:p>
    <w:p>
      <w:pPr>
        <w:spacing w:line="360" w:lineRule="auto" w:before="120" w:after="60"/>
        <w:ind w:firstLine="0"/>
        <w:jc w:val="left"/>
      </w:pPr>
      <w:r>
        <w:rPr>
          <w:rFonts w:ascii="Times New Roman" w:hAnsi="Times New Roman" w:eastAsia="宋体"/>
          <w:b/>
          <w:sz w:val="24"/>
        </w:rPr>
        <w:t>A+</w:t>
      </w:r>
    </w:p>
    <w:p>
      <w:pPr>
        <w:spacing w:line="360" w:lineRule="auto" w:before="120" w:after="60"/>
        <w:ind w:firstLine="0"/>
        <w:jc w:val="left"/>
      </w:pPr>
      <w:r>
        <w:rPr>
          <w:rFonts w:ascii="Times New Roman" w:hAnsi="Times New Roman" w:eastAsia="宋体"/>
          <w:b/>
          <w:sz w:val="24"/>
        </w:rPr>
        <w:t>A</w:t>
      </w:r>
    </w:p>
    <w:p>
      <w:pPr>
        <w:spacing w:line="360" w:lineRule="auto" w:before="120" w:after="60"/>
        <w:ind w:firstLine="0"/>
        <w:jc w:val="left"/>
      </w:pPr>
      <w:r>
        <w:rPr>
          <w:rFonts w:ascii="Times New Roman" w:hAnsi="Times New Roman" w:eastAsia="宋体"/>
          <w:b/>
          <w:sz w:val="24"/>
        </w:rPr>
        <w:t>B</w:t>
      </w:r>
    </w:p>
    <w:p>
      <w:pPr>
        <w:spacing w:line="360" w:lineRule="auto" w:before="120" w:after="60"/>
        <w:ind w:firstLine="0"/>
        <w:jc w:val="left"/>
      </w:pPr>
      <w:r>
        <w:rPr>
          <w:rFonts w:ascii="Times New Roman" w:hAnsi="Times New Roman" w:eastAsia="宋体"/>
          <w:b/>
          <w:sz w:val="24"/>
        </w:rPr>
        <w:t>C</w:t>
      </w:r>
    </w:p>
    <w:p>
      <w:pPr>
        <w:spacing w:line="360" w:lineRule="auto" w:before="0" w:after="80"/>
        <w:ind w:firstLine="482"/>
        <w:jc w:val="both"/>
      </w:pPr>
      <w:r>
        <w:rPr>
          <w:rFonts w:ascii="Times New Roman" w:hAnsi="Times New Roman" w:eastAsia="宋体"/>
          <w:b w:val="0"/>
          <w:sz w:val="24"/>
        </w:rPr>
        <w:t>30.0</w:t>
      </w:r>
    </w:p>
    <w:p>
      <w:pPr>
        <w:spacing w:line="360" w:lineRule="auto" w:before="0" w:after="80"/>
        <w:ind w:firstLine="482"/>
        <w:jc w:val="both"/>
      </w:pPr>
      <w:r>
        <w:rPr>
          <w:rFonts w:ascii="Times New Roman" w:hAnsi="Times New Roman" w:eastAsia="宋体"/>
          <w:b w:val="0"/>
          <w:sz w:val="24"/>
        </w:rPr>
        <w:t>25.0</w:t>
      </w:r>
    </w:p>
    <w:p>
      <w:pPr>
        <w:spacing w:line="360" w:lineRule="auto" w:before="0" w:after="80"/>
        <w:ind w:firstLine="482"/>
        <w:jc w:val="both"/>
      </w:pPr>
      <w:r>
        <w:rPr>
          <w:rFonts w:ascii="Times New Roman" w:hAnsi="Times New Roman" w:eastAsia="宋体"/>
          <w:b w:val="0"/>
          <w:sz w:val="24"/>
        </w:rPr>
        <w:t>20.0</w:t>
      </w:r>
    </w:p>
    <w:p>
      <w:pPr>
        <w:spacing w:line="360" w:lineRule="auto" w:before="0" w:after="80"/>
        <w:ind w:firstLine="482"/>
        <w:jc w:val="both"/>
      </w:pPr>
      <w:r>
        <w:rPr>
          <w:rFonts w:ascii="Times New Roman" w:hAnsi="Times New Roman" w:eastAsia="宋体"/>
          <w:b w:val="0"/>
          <w:sz w:val="24"/>
        </w:rPr>
        <w:t>15.0</w:t>
      </w:r>
    </w:p>
    <w:p>
      <w:pPr>
        <w:spacing w:line="360" w:lineRule="auto" w:before="0" w:after="80"/>
        <w:ind w:firstLine="482"/>
        <w:jc w:val="both"/>
      </w:pPr>
      <w:r>
        <w:rPr>
          <w:rFonts w:ascii="Times New Roman" w:hAnsi="Times New Roman" w:eastAsia="宋体"/>
          <w:b w:val="0"/>
          <w:sz w:val="24"/>
        </w:rPr>
        <w:t>10.0</w:t>
      </w:r>
    </w:p>
    <w:p>
      <w:pPr>
        <w:spacing w:line="360" w:lineRule="auto" w:before="0" w:after="80"/>
        <w:ind w:firstLine="482"/>
        <w:jc w:val="both"/>
      </w:pPr>
      <w:r>
        <w:rPr>
          <w:rFonts w:ascii="Times New Roman" w:hAnsi="Times New Roman" w:eastAsia="宋体"/>
          <w:b w:val="0"/>
          <w:sz w:val="24"/>
        </w:rPr>
        <w:t>5.0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