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通知通告 关于印发《集美大学计算机工程学院推荐优秀应届本科毕业生免试攻读硕士学位研究生工作实施细则（2025修订版）》的通知</w:t>
      </w:r>
    </w:p>
    <w:p>
      <w:pPr>
        <w:spacing w:after="80" w:lineRule="auto" w:line="360"/>
        <w:ind w:firstLine="482"/>
        <w:jc w:val="both"/>
      </w:pPr>
      <w:r>
        <w:rPr>
          <w:rFonts w:ascii="Times New Roman" w:hAnsi="Times New Roman" w:eastAsia="宋体"/>
          <w:b w:val="0"/>
          <w:sz w:val="24"/>
        </w:rPr>
        <w:t>本段内容为集美大学计算机工程学院发布的《推荐优秀应届本科毕业生免试攻读硕士学位研究生工作实施细则（2025修订版）》通知页面，但正文仅包含网站导航栏目信息，未提供细则具体条款。</w:t>
      </w:r>
    </w:p>
    <w:p>
      <w:pPr>
        <w:spacing w:after="80" w:lineRule="auto" w:line="360"/>
        <w:ind w:firstLine="482"/>
        <w:jc w:val="both"/>
      </w:pPr>
      <w:r>
        <w:rPr>
          <w:rFonts w:ascii="Times New Roman" w:hAnsi="Times New Roman" w:eastAsia="宋体"/>
          <w:b w:val="0"/>
          <w:sz w:val="24"/>
        </w:rPr>
        <w:t>发布日期（推定）：2025年7月30日</w:t>
      </w:r>
    </w:p>
    <w:p>
      <w:pPr>
        <w:spacing w:before="160" w:after="80" w:lineRule="auto" w:line="360"/>
        <w:jc w:val="left"/>
      </w:pPr>
      <w:r>
        <w:rPr>
          <w:rFonts w:ascii="Times New Roman" w:hAnsi="Times New Roman" w:eastAsia="宋体"/>
          <w:b/>
          <w:sz w:val="28"/>
        </w:rPr>
        <w:t>一、页面栏目信息</w:t>
      </w:r>
    </w:p>
    <w:p>
      <w:pPr>
        <w:spacing w:after="80" w:lineRule="auto" w:line="360"/>
        <w:ind w:firstLine="482"/>
        <w:jc w:val="both"/>
      </w:pPr>
      <w:r>
        <w:rPr>
          <w:rFonts w:ascii="Times New Roman" w:hAnsi="Times New Roman" w:eastAsia="宋体"/>
          <w:b w:val="0"/>
          <w:sz w:val="24"/>
        </w:rPr>
        <w:t>1. 专业设置</w:t>
      </w:r>
    </w:p>
    <w:p>
      <w:pPr>
        <w:spacing w:after="80" w:lineRule="auto" w:line="360"/>
        <w:ind w:firstLine="482"/>
        <w:jc w:val="both"/>
      </w:pPr>
      <w:r>
        <w:rPr>
          <w:rFonts w:ascii="Times New Roman" w:hAnsi="Times New Roman" w:eastAsia="宋体"/>
          <w:b w:val="0"/>
          <w:sz w:val="24"/>
        </w:rPr>
        <w:t>2. 党建思政：党的建设、思政学习</w:t>
      </w:r>
    </w:p>
    <w:p>
      <w:pPr>
        <w:spacing w:after="80" w:lineRule="auto" w:line="360"/>
        <w:ind w:firstLine="482"/>
        <w:jc w:val="both"/>
      </w:pPr>
      <w:r>
        <w:rPr>
          <w:rFonts w:ascii="Times New Roman" w:hAnsi="Times New Roman" w:eastAsia="宋体"/>
          <w:b w:val="0"/>
          <w:sz w:val="24"/>
        </w:rPr>
        <w:t>3. 师资队伍：教授、副教授、讲师-博士</w:t>
      </w:r>
    </w:p>
    <w:p>
      <w:pPr>
        <w:spacing w:after="80" w:lineRule="auto" w:line="360"/>
        <w:ind w:firstLine="482"/>
        <w:jc w:val="both"/>
      </w:pPr>
      <w:r>
        <w:rPr>
          <w:rFonts w:ascii="Times New Roman" w:hAnsi="Times New Roman" w:eastAsia="宋体"/>
          <w:b w:val="0"/>
          <w:sz w:val="24"/>
        </w:rPr>
        <w:t>4. 本科生教育：通知通告、毕业设计、政策文件、教学改革、专业培养方案、下载中心</w:t>
      </w:r>
    </w:p>
    <w:p>
      <w:pPr>
        <w:spacing w:after="80" w:lineRule="auto" w:line="360"/>
        <w:ind w:firstLine="482"/>
        <w:jc w:val="both"/>
      </w:pPr>
      <w:r>
        <w:rPr>
          <w:rFonts w:ascii="Times New Roman" w:hAnsi="Times New Roman" w:eastAsia="宋体"/>
          <w:b w:val="0"/>
          <w:sz w:val="24"/>
        </w:rPr>
        <w:t>5. 研究生教育：通知公告、管理工作、导师介绍、政策法规</w:t>
      </w:r>
    </w:p>
    <w:p>
      <w:pPr>
        <w:spacing w:after="80" w:lineRule="auto" w:line="360"/>
        <w:ind w:firstLine="482"/>
        <w:jc w:val="both"/>
      </w:pPr>
      <w:r>
        <w:rPr>
          <w:rFonts w:ascii="Times New Roman" w:hAnsi="Times New Roman" w:eastAsia="宋体"/>
          <w:b w:val="0"/>
          <w:sz w:val="24"/>
        </w:rPr>
        <w:t>6. 科研：科研动态、科研平台、科研团队</w:t>
      </w:r>
    </w:p>
    <w:p>
      <w:pPr>
        <w:spacing w:after="80" w:lineRule="auto" w:line="360"/>
        <w:ind w:firstLine="482"/>
        <w:jc w:val="both"/>
      </w:pPr>
      <w:r>
        <w:rPr>
          <w:rFonts w:ascii="Times New Roman" w:hAnsi="Times New Roman" w:eastAsia="宋体"/>
          <w:b w:val="0"/>
          <w:sz w:val="24"/>
        </w:rPr>
        <w:t>7. 学生工作：学工动态、创新创业、政策文件、一站式学生社区</w:t>
      </w:r>
    </w:p>
    <w:p>
      <w:pPr>
        <w:spacing w:after="80" w:lineRule="auto" w:line="360"/>
        <w:ind w:firstLine="482"/>
        <w:jc w:val="both"/>
      </w:pPr>
      <w:r>
        <w:rPr>
          <w:rFonts w:ascii="Times New Roman" w:hAnsi="Times New Roman" w:eastAsia="宋体"/>
          <w:b w:val="0"/>
          <w:sz w:val="24"/>
        </w:rPr>
        <w:t>8. 招生信息</w:t>
      </w:r>
    </w:p>
    <w:p>
      <w:pPr>
        <w:spacing w:after="80" w:lineRule="auto" w:line="360"/>
        <w:ind w:firstLine="482"/>
        <w:jc w:val="both"/>
      </w:pPr>
      <w:r>
        <w:rPr>
          <w:rFonts w:ascii="Times New Roman" w:hAnsi="Times New Roman" w:eastAsia="宋体"/>
          <w:b w:val="0"/>
          <w:sz w:val="24"/>
        </w:rPr>
        <w:t>9. 就业信息</w:t>
      </w:r>
    </w:p>
    <w:p>
      <w:pPr>
        <w:spacing w:after="80" w:lineRule="auto" w:line="360"/>
        <w:ind w:firstLine="482"/>
        <w:jc w:val="both"/>
      </w:pPr>
      <w:r>
        <w:rPr>
          <w:rFonts w:ascii="Times New Roman" w:hAnsi="Times New Roman" w:eastAsia="宋体"/>
          <w:b w:val="0"/>
          <w:sz w:val="24"/>
        </w:rPr>
        <w:t>10. 校友之家：校友活动、校友捐赠、校友风采</w:t>
      </w:r>
    </w:p>
    <w:p>
      <w:pPr>
        <w:spacing w:after="80" w:lineRule="auto" w:line="360"/>
        <w:ind w:firstLine="482"/>
        <w:jc w:val="both"/>
      </w:pPr>
      <w:r>
        <w:rPr>
          <w:rFonts w:ascii="Times New Roman" w:hAnsi="Times New Roman" w:eastAsia="宋体"/>
          <w:b w:val="0"/>
          <w:sz w:val="24"/>
        </w:rPr>
        <w:t>11. 办事大厅：学校办事大厅、学院办事清单</w:t>
      </w:r>
    </w:p>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当前抓取内容未包含该实施细则的申请条件、报名时间、活动时间、接收条件、流程、材料清单、时间节点、名额及联系方式等具体信息，无法进一步提炼。</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