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同济大学政治与国际关系学院推荐优秀硕士研究生攻读博士研究生的实施细则</w:t>
      </w:r>
    </w:p>
    <w:p>
      <w:pPr>
        <w:spacing w:after="80" w:lineRule="auto" w:line="360"/>
        <w:ind w:firstLine="482"/>
        <w:jc w:val="both"/>
      </w:pPr>
      <w:r>
        <w:rPr>
          <w:rFonts w:ascii="Times New Roman" w:hAnsi="Times New Roman" w:eastAsia="宋体"/>
          <w:b w:val="0"/>
          <w:sz w:val="24"/>
        </w:rPr>
        <w:t>同济大学政治与国际关系学院推荐优秀硕士研究生攻读博士研究生的实施细则</w:t>
      </w:r>
    </w:p>
    <w:p>
      <w:pPr>
        <w:spacing w:after="80" w:lineRule="auto" w:line="360"/>
        <w:ind w:firstLine="482"/>
        <w:jc w:val="both"/>
      </w:pPr>
      <w:r>
        <w:rPr>
          <w:rFonts w:ascii="Times New Roman" w:hAnsi="Times New Roman" w:eastAsia="宋体"/>
          <w:b w:val="0"/>
          <w:sz w:val="24"/>
        </w:rPr>
        <w:t>发布日期（推定）：2025年11月28日</w:t>
      </w:r>
    </w:p>
    <w:p>
      <w:pPr>
        <w:spacing w:before="160" w:after="80" w:lineRule="auto" w:line="360"/>
        <w:jc w:val="left"/>
      </w:pPr>
      <w:r>
        <w:rPr>
          <w:rFonts w:ascii="Times New Roman" w:hAnsi="Times New Roman" w:eastAsia="宋体"/>
          <w:b/>
          <w:sz w:val="28"/>
        </w:rPr>
        <w:t>一、选拔对象</w:t>
      </w:r>
    </w:p>
    <w:p>
      <w:pPr>
        <w:spacing w:after="80" w:lineRule="auto" w:line="360"/>
        <w:ind w:firstLine="482"/>
        <w:jc w:val="both"/>
      </w:pPr>
      <w:r>
        <w:rPr>
          <w:rFonts w:ascii="Times New Roman" w:hAnsi="Times New Roman" w:eastAsia="宋体"/>
          <w:b w:val="0"/>
          <w:sz w:val="24"/>
        </w:rPr>
        <w:t>1. 本院在读优秀硕士研究生。</w:t>
      </w:r>
    </w:p>
    <w:p>
      <w:pPr>
        <w:spacing w:before="160" w:after="80" w:lineRule="auto" w:line="360"/>
        <w:jc w:val="left"/>
      </w:pPr>
      <w:r>
        <w:rPr>
          <w:rFonts w:ascii="Times New Roman" w:hAnsi="Times New Roman" w:eastAsia="宋体"/>
          <w:b/>
          <w:sz w:val="28"/>
        </w:rPr>
        <w:t>二、选拔要求</w:t>
      </w:r>
    </w:p>
    <w:p>
      <w:pPr>
        <w:spacing w:after="80" w:lineRule="auto" w:line="360"/>
        <w:ind w:firstLine="482"/>
        <w:jc w:val="both"/>
      </w:pPr>
      <w:r>
        <w:rPr>
          <w:rFonts w:ascii="Times New Roman" w:hAnsi="Times New Roman" w:eastAsia="宋体"/>
          <w:b w:val="0"/>
          <w:sz w:val="24"/>
        </w:rPr>
        <w:t>1. 拥护中国共产党的领导，具有正确的政治方向，热爱祖国，愿意为社会主义现代化建设服务，遵纪守法，品行端正，德智体美劳全面发展，具备成为引领未来的社会栋梁与专业精英的基本素质。</w:t>
      </w:r>
    </w:p>
    <w:p>
      <w:pPr>
        <w:spacing w:after="80" w:lineRule="auto" w:line="360"/>
        <w:ind w:firstLine="482"/>
        <w:jc w:val="both"/>
      </w:pPr>
      <w:r>
        <w:rPr>
          <w:rFonts w:ascii="Times New Roman" w:hAnsi="Times New Roman" w:eastAsia="宋体"/>
          <w:b w:val="0"/>
          <w:sz w:val="24"/>
        </w:rPr>
        <w:t>2. 本院在读，已完成规定的课程学习和考核（不含必修环节），成绩优秀的全日制非定向就业硕士。</w:t>
      </w:r>
    </w:p>
    <w:p>
      <w:pPr>
        <w:spacing w:after="80" w:lineRule="auto" w:line="360"/>
        <w:ind w:firstLine="482"/>
        <w:jc w:val="both"/>
      </w:pPr>
      <w:r>
        <w:rPr>
          <w:rFonts w:ascii="Times New Roman" w:hAnsi="Times New Roman" w:eastAsia="宋体"/>
          <w:b w:val="0"/>
          <w:sz w:val="24"/>
        </w:rPr>
        <w:t>3. 具备较强的综合素质，在学习和科研工作中具有创新意识，成绩优良，符合下列基本条件：</w:t>
      </w:r>
    </w:p>
    <w:p>
      <w:pPr>
        <w:spacing w:after="80" w:lineRule="auto" w:line="360"/>
        <w:ind w:firstLine="482"/>
        <w:jc w:val="both"/>
      </w:pPr>
      <w:r>
        <w:rPr>
          <w:rFonts w:ascii="Times New Roman" w:hAnsi="Times New Roman" w:eastAsia="宋体"/>
          <w:b w:val="0"/>
          <w:sz w:val="24"/>
        </w:rPr>
        <w:t>（1）本科毕业院校为一流大学建设高校且本科所学专业为政治学类专业，或本科毕业院校为一流学科建设高校且所学专业为国家级一流政治学类本科专业。</w:t>
      </w:r>
    </w:p>
    <w:p>
      <w:pPr>
        <w:spacing w:after="80" w:lineRule="auto" w:line="360"/>
        <w:ind w:firstLine="482"/>
        <w:jc w:val="both"/>
      </w:pPr>
      <w:r>
        <w:rPr>
          <w:rFonts w:ascii="Times New Roman" w:hAnsi="Times New Roman" w:eastAsia="宋体"/>
          <w:b w:val="0"/>
          <w:sz w:val="24"/>
        </w:rPr>
        <w:t>（2）在本学科同届研究生中排名前15%以内，且学位课程加权平均成绩85分以上。</w:t>
      </w:r>
    </w:p>
    <w:p>
      <w:pPr>
        <w:spacing w:after="80" w:lineRule="auto" w:line="360"/>
        <w:ind w:firstLine="482"/>
        <w:jc w:val="both"/>
      </w:pPr>
      <w:r>
        <w:rPr>
          <w:rFonts w:ascii="Times New Roman" w:hAnsi="Times New Roman" w:eastAsia="宋体"/>
          <w:b w:val="0"/>
          <w:sz w:val="24"/>
        </w:rPr>
        <w:t>（3）大学英语六级考试成绩达到550分；或TOEFL成绩88分以上（2年内有效）；或IELTS成绩7.0分以上（2年内有效）；其他语种参照此标准。</w:t>
      </w:r>
    </w:p>
    <w:p>
      <w:pPr>
        <w:spacing w:after="80" w:lineRule="auto" w:line="360"/>
        <w:ind w:firstLine="482"/>
        <w:jc w:val="both"/>
      </w:pPr>
      <w:r>
        <w:rPr>
          <w:rFonts w:ascii="Times New Roman" w:hAnsi="Times New Roman" w:eastAsia="宋体"/>
          <w:b w:val="0"/>
          <w:sz w:val="24"/>
        </w:rPr>
        <w:t>4. 已正式发表高水平学术论文或获得省部级及以上科研奖项的，可优先考虑。</w:t>
      </w:r>
    </w:p>
    <w:p>
      <w:pPr>
        <w:spacing w:after="80" w:lineRule="auto" w:line="360"/>
        <w:ind w:firstLine="482"/>
        <w:jc w:val="both"/>
      </w:pPr>
      <w:r>
        <w:rPr>
          <w:rFonts w:ascii="Times New Roman" w:hAnsi="Times New Roman" w:eastAsia="宋体"/>
          <w:b w:val="0"/>
          <w:sz w:val="24"/>
        </w:rPr>
        <w:t>5. 在读硕士期间受到任何处分者、课程考试有重考重修记录者、未向学校缴纳应缴的各类费用者，不得参加选拔。</w:t>
      </w:r>
    </w:p>
    <w:p>
      <w:pPr>
        <w:spacing w:before="160" w:after="80" w:lineRule="auto" w:line="360"/>
        <w:jc w:val="left"/>
      </w:pPr>
      <w:r>
        <w:rPr>
          <w:rFonts w:ascii="Times New Roman" w:hAnsi="Times New Roman" w:eastAsia="宋体"/>
          <w:b/>
          <w:sz w:val="28"/>
        </w:rPr>
        <w:t>三、申请材料</w:t>
      </w:r>
    </w:p>
    <w:p>
      <w:pPr>
        <w:spacing w:after="80" w:lineRule="auto" w:line="360"/>
        <w:ind w:firstLine="482"/>
        <w:jc w:val="both"/>
      </w:pPr>
      <w:r>
        <w:rPr>
          <w:rFonts w:ascii="Times New Roman" w:hAnsi="Times New Roman" w:eastAsia="宋体"/>
          <w:b w:val="0"/>
          <w:sz w:val="24"/>
        </w:rPr>
        <w:t>1. 《同济大学2026年报考攻读博士学位研究生登记表》（完成网上报名和缴费后系统打印）。</w:t>
      </w:r>
    </w:p>
    <w:p>
      <w:pPr>
        <w:spacing w:after="80" w:lineRule="auto" w:line="360"/>
        <w:ind w:firstLine="482"/>
        <w:jc w:val="both"/>
      </w:pPr>
      <w:r>
        <w:rPr>
          <w:rFonts w:ascii="Times New Roman" w:hAnsi="Times New Roman" w:eastAsia="宋体"/>
          <w:b w:val="0"/>
          <w:sz w:val="24"/>
        </w:rPr>
        <w:t>2. 两位与报考专业相关的副高级或以上职称专家亲笔签名（其中一位为报考导师）的推荐信原件。</w:t>
      </w:r>
    </w:p>
    <w:p>
      <w:pPr>
        <w:spacing w:after="80" w:lineRule="auto" w:line="360"/>
        <w:ind w:firstLine="482"/>
        <w:jc w:val="both"/>
      </w:pPr>
      <w:r>
        <w:rPr>
          <w:rFonts w:ascii="Times New Roman" w:hAnsi="Times New Roman" w:eastAsia="宋体"/>
          <w:b w:val="0"/>
          <w:sz w:val="24"/>
        </w:rPr>
        <w:t>3. 其他补充材料（如发表论文、获奖证明等）。</w:t>
      </w:r>
    </w:p>
    <w:p>
      <w:pPr>
        <w:spacing w:before="160" w:after="80" w:lineRule="auto" w:line="360"/>
        <w:jc w:val="left"/>
      </w:pPr>
      <w:r>
        <w:rPr>
          <w:rFonts w:ascii="Times New Roman" w:hAnsi="Times New Roman" w:eastAsia="宋体"/>
          <w:b/>
          <w:sz w:val="28"/>
        </w:rPr>
        <w:t>四、选拔流程</w:t>
      </w:r>
    </w:p>
    <w:p>
      <w:pPr>
        <w:spacing w:after="80" w:lineRule="auto" w:line="360"/>
        <w:ind w:firstLine="482"/>
        <w:jc w:val="both"/>
      </w:pPr>
      <w:r>
        <w:rPr>
          <w:rFonts w:ascii="Times New Roman" w:hAnsi="Times New Roman" w:eastAsia="宋体"/>
          <w:b w:val="0"/>
          <w:sz w:val="24"/>
        </w:rPr>
        <w:t>1. 2025年11月28日17点前，拟参加硕博连读选拔的学生登录同济大学研究生报考服务系统完成网上报名（网址：https://yzbm.tongji.edu.cn/logon），如实填写报名信息、上传报名照片、缴纳报名费（报名费：100元）、提交本细则三中各项材料。注意：报考类别应为“非定向就业”。</w:t>
      </w:r>
    </w:p>
    <w:p>
      <w:pPr>
        <w:spacing w:after="80" w:lineRule="auto" w:line="360"/>
        <w:ind w:firstLine="482"/>
        <w:jc w:val="both"/>
      </w:pPr>
      <w:r>
        <w:rPr>
          <w:rFonts w:ascii="Times New Roman" w:hAnsi="Times New Roman" w:eastAsia="宋体"/>
          <w:b w:val="0"/>
          <w:sz w:val="24"/>
        </w:rPr>
        <w:t>2. 学院研究生招生材料审核工作组负责对学生的申请材料进行初步审核。</w:t>
      </w:r>
    </w:p>
    <w:p>
      <w:pPr>
        <w:spacing w:after="80" w:lineRule="auto" w:line="360"/>
        <w:ind w:firstLine="482"/>
        <w:jc w:val="both"/>
      </w:pPr>
      <w:r>
        <w:rPr>
          <w:rFonts w:ascii="Times New Roman" w:hAnsi="Times New Roman" w:eastAsia="宋体"/>
          <w:b w:val="0"/>
          <w:sz w:val="24"/>
        </w:rPr>
        <w:t>3. 审核通过的学生须参加学院组织的复试，复试时间和地点另行通知。</w:t>
      </w:r>
    </w:p>
    <w:p>
      <w:pPr>
        <w:spacing w:after="80" w:lineRule="auto" w:line="360"/>
        <w:ind w:firstLine="482"/>
        <w:jc w:val="both"/>
      </w:pPr>
      <w:r>
        <w:rPr>
          <w:rFonts w:ascii="Times New Roman" w:hAnsi="Times New Roman" w:eastAsia="宋体"/>
          <w:b w:val="0"/>
          <w:sz w:val="24"/>
        </w:rPr>
        <w:t>4. 学院根据复试成绩和各学科名额，结合考生的思想政治表现及身体健康状况确定最终录取结果。</w:t>
      </w:r>
    </w:p>
    <w:p>
      <w:pPr>
        <w:spacing w:after="80" w:lineRule="auto" w:line="360"/>
        <w:ind w:firstLine="482"/>
        <w:jc w:val="both"/>
      </w:pPr>
      <w:r>
        <w:rPr>
          <w:rFonts w:ascii="Times New Roman" w:hAnsi="Times New Roman" w:eastAsia="宋体"/>
          <w:b w:val="0"/>
          <w:sz w:val="24"/>
        </w:rPr>
        <w:t>5. 复试结果将在学院网站公示，拟录取名单经学院和学校研究生招生工作领导小组审核，在学校网站公示。</w:t>
      </w:r>
    </w:p>
    <w:p>
      <w:pPr>
        <w:spacing w:before="160" w:after="80" w:lineRule="auto" w:line="360"/>
        <w:jc w:val="left"/>
      </w:pPr>
      <w:r>
        <w:rPr>
          <w:rFonts w:ascii="Times New Roman" w:hAnsi="Times New Roman" w:eastAsia="宋体"/>
          <w:b/>
          <w:sz w:val="28"/>
        </w:rPr>
        <w:t>五、其他</w:t>
      </w:r>
    </w:p>
    <w:p>
      <w:pPr>
        <w:spacing w:after="80" w:lineRule="auto" w:line="360"/>
        <w:ind w:firstLine="482"/>
        <w:jc w:val="both"/>
      </w:pPr>
      <w:r>
        <w:rPr>
          <w:rFonts w:ascii="Times New Roman" w:hAnsi="Times New Roman" w:eastAsia="宋体"/>
          <w:b w:val="0"/>
          <w:sz w:val="24"/>
        </w:rPr>
        <w:t>1. 入学时间：2026年3月。</w:t>
      </w:r>
    </w:p>
    <w:p>
      <w:pPr>
        <w:spacing w:after="80" w:lineRule="auto" w:line="360"/>
        <w:ind w:firstLine="482"/>
        <w:jc w:val="both"/>
      </w:pPr>
      <w:r>
        <w:rPr>
          <w:rFonts w:ascii="Times New Roman" w:hAnsi="Times New Roman" w:eastAsia="宋体"/>
          <w:b w:val="0"/>
          <w:sz w:val="24"/>
        </w:rPr>
        <w:t>2. 学制：硕博连读入学的博士生学制为四年。</w:t>
      </w:r>
    </w:p>
    <w:p>
      <w:pPr>
        <w:spacing w:after="80" w:lineRule="auto" w:line="360"/>
        <w:ind w:firstLine="482"/>
        <w:jc w:val="both"/>
      </w:pPr>
      <w:r>
        <w:rPr>
          <w:rFonts w:ascii="Times New Roman" w:hAnsi="Times New Roman" w:eastAsia="宋体"/>
          <w:b w:val="0"/>
          <w:sz w:val="24"/>
        </w:rPr>
        <w:t>3. 通过硕博连读入学的博士生不能参加硕士阶段答辩和申报学历学位。</w:t>
      </w:r>
    </w:p>
    <w:p>
      <w:pPr>
        <w:spacing w:after="80" w:lineRule="auto" w:line="360"/>
        <w:ind w:firstLine="482"/>
        <w:jc w:val="both"/>
      </w:pPr>
      <w:r>
        <w:rPr>
          <w:rFonts w:ascii="Times New Roman" w:hAnsi="Times New Roman" w:eastAsia="宋体"/>
          <w:b w:val="0"/>
          <w:sz w:val="24"/>
        </w:rPr>
        <w:t>4. 本细则由政治与国际关系学院研究生教学管理部负责解释，未尽事宜以学校相关规定为准。</w:t>
      </w:r>
    </w:p>
    <w:p>
      <w:pPr>
        <w:spacing w:after="80" w:lineRule="auto" w:line="360"/>
        <w:ind w:firstLine="482"/>
        <w:jc w:val="both"/>
      </w:pPr>
      <w:r>
        <w:rPr>
          <w:rFonts w:ascii="Times New Roman" w:hAnsi="Times New Roman" w:eastAsia="宋体"/>
          <w:b w:val="0"/>
          <w:sz w:val="24"/>
        </w:rPr>
        <w:t>联系方式：邮箱 tjguozheng@tongji.edu.cn；发布单位：同济大学政治与国际关系学院（2025年11月10日）。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