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植物保护学院2026年推荐优秀应届本科毕业生免试攻读研究生工作方案-山西农业大学植物保护学院</w:t>
      </w:r>
    </w:p>
    <w:p>
      <w:pPr>
        <w:spacing w:after="80" w:lineRule="auto" w:line="360"/>
        <w:ind w:firstLine="482"/>
        <w:jc w:val="both"/>
      </w:pPr>
      <w:r>
        <w:rPr>
          <w:rFonts w:ascii="Times New Roman" w:hAnsi="Times New Roman" w:eastAsia="宋体"/>
          <w:b w:val="0"/>
          <w:sz w:val="24"/>
        </w:rPr>
        <w:t>为做好植物保护学院2026年推荐优秀应届本科毕业生免试攻读研究生工作（以下简称推免工作），根据上级部门文件精神和会议要求，按照学校《推荐优秀应届本科毕业生免试攻读研究生遴选方案》（农大行字〔2025〕1号）及《山西农业大学2026年推荐优秀应届本科毕业生免试攻读研究生工作方案》（教务字（2025）59号），结合学院工作实际，特制定本方案。</w:t>
      </w:r>
    </w:p>
    <w:p>
      <w:pPr>
        <w:spacing w:after="80" w:lineRule="auto" w:line="360"/>
        <w:ind w:firstLine="482"/>
        <w:jc w:val="both"/>
      </w:pPr>
      <w:r>
        <w:rPr>
          <w:rFonts w:ascii="Times New Roman" w:hAnsi="Times New Roman" w:eastAsia="宋体"/>
          <w:b w:val="0"/>
          <w:sz w:val="24"/>
        </w:rPr>
        <w:t>发布日期（推定）：2025年8月27日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为做好植物保护学院2026年推荐优秀应届本科毕业生免试攻读硕士学位研究生工作，根据学校文件和有关精神，成立植物保护学院2026年推免硕士研究生遴选推荐工作领导小组：</w:t>
      </w:r>
    </w:p>
    <w:p>
      <w:pPr>
        <w:spacing w:after="80" w:lineRule="auto" w:line="360"/>
        <w:ind w:firstLine="482"/>
        <w:jc w:val="both"/>
      </w:pPr>
      <w:r>
        <w:rPr>
          <w:rFonts w:ascii="Times New Roman" w:hAnsi="Times New Roman" w:eastAsia="宋体"/>
          <w:b w:val="0"/>
          <w:sz w:val="24"/>
        </w:rPr>
        <w:t>组 长：程三宝 马瑞燕</w:t>
      </w:r>
    </w:p>
    <w:p>
      <w:pPr>
        <w:spacing w:after="80" w:lineRule="auto" w:line="360"/>
        <w:ind w:firstLine="482"/>
        <w:jc w:val="both"/>
      </w:pPr>
      <w:r>
        <w:rPr>
          <w:rFonts w:ascii="Times New Roman" w:hAnsi="Times New Roman" w:eastAsia="宋体"/>
          <w:b w:val="0"/>
          <w:sz w:val="24"/>
        </w:rPr>
        <w:t>副组长：杜海燕 张宝俊</w:t>
      </w:r>
    </w:p>
    <w:p>
      <w:pPr>
        <w:spacing w:after="80" w:lineRule="auto" w:line="360"/>
        <w:ind w:firstLine="482"/>
        <w:jc w:val="both"/>
      </w:pPr>
      <w:r>
        <w:rPr>
          <w:rFonts w:ascii="Times New Roman" w:hAnsi="Times New Roman" w:eastAsia="宋体"/>
          <w:b w:val="0"/>
          <w:sz w:val="24"/>
        </w:rPr>
        <w:t>组 员：王春伟 杨春 魏久锋 贾栋 刁红亮 禅永毅 荆陈沉 王德龙</w:t>
      </w:r>
    </w:p>
    <w:p>
      <w:pPr>
        <w:spacing w:after="80" w:lineRule="auto" w:line="360"/>
        <w:ind w:firstLine="482"/>
        <w:jc w:val="both"/>
      </w:pPr>
      <w:r>
        <w:rPr>
          <w:rFonts w:ascii="Times New Roman" w:hAnsi="Times New Roman" w:eastAsia="宋体"/>
          <w:b w:val="0"/>
          <w:sz w:val="24"/>
        </w:rPr>
        <w:t>秘 书：付 丽 张 杰</w:t>
      </w:r>
    </w:p>
    <w:p>
      <w:pPr>
        <w:spacing w:before="160" w:after="80" w:lineRule="auto" w:line="360"/>
        <w:jc w:val="left"/>
      </w:pPr>
      <w:r>
        <w:rPr>
          <w:rFonts w:ascii="Times New Roman" w:hAnsi="Times New Roman" w:eastAsia="宋体"/>
          <w:b/>
          <w:sz w:val="28"/>
        </w:rPr>
        <w:t>二、遴选推荐</w:t>
      </w:r>
    </w:p>
    <w:p>
      <w:pPr>
        <w:spacing w:after="80" w:lineRule="auto" w:line="360"/>
        <w:ind w:firstLine="482"/>
        <w:jc w:val="both"/>
      </w:pPr>
      <w:r>
        <w:rPr>
          <w:rFonts w:ascii="Times New Roman" w:hAnsi="Times New Roman" w:eastAsia="宋体"/>
          <w:b w:val="0"/>
          <w:sz w:val="24"/>
        </w:rPr>
        <w:t>（一）推免基本条件</w:t>
      </w:r>
    </w:p>
    <w:p>
      <w:pPr>
        <w:spacing w:after="80" w:lineRule="auto" w:line="360"/>
        <w:ind w:firstLine="482"/>
        <w:jc w:val="both"/>
      </w:pPr>
      <w:r>
        <w:rPr>
          <w:rFonts w:ascii="Times New Roman" w:hAnsi="Times New Roman" w:eastAsia="宋体"/>
          <w:b w:val="0"/>
          <w:sz w:val="24"/>
        </w:rPr>
        <w:t>1. 具有高尚的爱国主义情操和集体主义精神，社会主义信念坚定，模范践行社会主义核心价值观，社会责任感强，积极向上，身心健康；</w:t>
      </w:r>
    </w:p>
    <w:p>
      <w:pPr>
        <w:spacing w:after="80" w:lineRule="auto" w:line="360"/>
        <w:ind w:firstLine="482"/>
        <w:jc w:val="both"/>
      </w:pPr>
      <w:r>
        <w:rPr>
          <w:rFonts w:ascii="Times New Roman" w:hAnsi="Times New Roman" w:eastAsia="宋体"/>
          <w:b w:val="0"/>
          <w:sz w:val="24"/>
        </w:rPr>
        <w:t>2. 诚实守信，学风端正，遵纪守法，品行优良；</w:t>
      </w:r>
    </w:p>
    <w:p>
      <w:pPr>
        <w:spacing w:after="80" w:lineRule="auto" w:line="360"/>
        <w:ind w:firstLine="482"/>
        <w:jc w:val="both"/>
      </w:pPr>
      <w:r>
        <w:rPr>
          <w:rFonts w:ascii="Times New Roman" w:hAnsi="Times New Roman" w:eastAsia="宋体"/>
          <w:b w:val="0"/>
          <w:sz w:val="24"/>
        </w:rPr>
        <w:t>3. 纳入国家普通本科招生计划录取的应届毕业生（不含通过定向委培等特殊招生形式录取的、国家有相关规定或者录取前与学校有明确约定不可参加推免的）；</w:t>
      </w:r>
    </w:p>
    <w:p>
      <w:pPr>
        <w:spacing w:after="80" w:lineRule="auto" w:line="360"/>
        <w:ind w:firstLine="482"/>
        <w:jc w:val="both"/>
      </w:pPr>
      <w:r>
        <w:rPr>
          <w:rFonts w:ascii="Times New Roman" w:hAnsi="Times New Roman" w:eastAsia="宋体"/>
          <w:b w:val="0"/>
          <w:sz w:val="24"/>
        </w:rPr>
        <w:t>4. 能达到学士学位授予要求；</w:t>
      </w:r>
    </w:p>
    <w:p>
      <w:pPr>
        <w:spacing w:after="80" w:lineRule="auto" w:line="360"/>
        <w:ind w:firstLine="482"/>
        <w:jc w:val="both"/>
      </w:pPr>
      <w:r>
        <w:rPr>
          <w:rFonts w:ascii="Times New Roman" w:hAnsi="Times New Roman" w:eastAsia="宋体"/>
          <w:b w:val="0"/>
          <w:sz w:val="24"/>
        </w:rPr>
        <w:t>5. 全国CET-4水平考试成绩不低于425分（外语为小语种的申请者必须达到同等水平）；申请直博考生外语水平须达到全国CET-6考试成绩不低于425分或托福90分以上或雅思A类6分以上或有近三年内以第一作者发表SCI收录的研究性学术论文；</w:t>
      </w:r>
    </w:p>
    <w:p>
      <w:pPr>
        <w:spacing w:after="80" w:lineRule="auto" w:line="360"/>
        <w:ind w:firstLine="482"/>
        <w:jc w:val="both"/>
      </w:pPr>
      <w:r>
        <w:rPr>
          <w:rFonts w:ascii="Times New Roman" w:hAnsi="Times New Roman" w:eastAsia="宋体"/>
          <w:b w:val="0"/>
          <w:sz w:val="24"/>
        </w:rPr>
        <w:t>6. 前三学年的课程考核合格，必修课平均学分绩点（GPA）居于本专业前20%；申请直博考生必修课平均学分绩点（GPA）居于本专业前10%；</w:t>
      </w:r>
    </w:p>
    <w:p>
      <w:pPr>
        <w:spacing w:after="80" w:lineRule="auto" w:line="360"/>
        <w:ind w:firstLine="482"/>
        <w:jc w:val="both"/>
      </w:pPr>
      <w:r>
        <w:rPr>
          <w:rFonts w:ascii="Times New Roman" w:hAnsi="Times New Roman" w:eastAsia="宋体"/>
          <w:b w:val="0"/>
          <w:sz w:val="24"/>
        </w:rPr>
        <w:t>7. 对于在校期间存在考试作弊行为，或因违反有关规定受过纪律处分的学生，实行“一票否决”。</w:t>
      </w:r>
    </w:p>
    <w:p>
      <w:pPr>
        <w:spacing w:after="80" w:lineRule="auto" w:line="360"/>
        <w:ind w:firstLine="482"/>
        <w:jc w:val="both"/>
      </w:pPr>
      <w:r>
        <w:rPr>
          <w:rFonts w:ascii="Times New Roman" w:hAnsi="Times New Roman" w:eastAsia="宋体"/>
          <w:b w:val="0"/>
          <w:sz w:val="24"/>
        </w:rPr>
        <w:t>（二）综合遴选</w:t>
      </w:r>
    </w:p>
    <w:p>
      <w:pPr>
        <w:spacing w:after="80" w:lineRule="auto" w:line="360"/>
        <w:ind w:firstLine="482"/>
        <w:jc w:val="both"/>
      </w:pPr>
      <w:r>
        <w:rPr>
          <w:rFonts w:ascii="Times New Roman" w:hAnsi="Times New Roman" w:eastAsia="宋体"/>
          <w:b w:val="0"/>
          <w:sz w:val="24"/>
        </w:rPr>
        <w:t>符合推免基本条件的基础上，按照综合遴选办法遴选。</w:t>
      </w:r>
    </w:p>
    <w:p>
      <w:pPr>
        <w:spacing w:after="80" w:lineRule="auto" w:line="360"/>
        <w:ind w:firstLine="482"/>
        <w:jc w:val="both"/>
      </w:pPr>
      <w:r>
        <w:rPr>
          <w:rFonts w:ascii="Times New Roman" w:hAnsi="Times New Roman" w:eastAsia="宋体"/>
          <w:b w:val="0"/>
          <w:sz w:val="24"/>
        </w:rPr>
        <w:t>1. 综合遴选成绩满分100分，由必修课平均学分绩点（GPA）成绩及综合评价指标成绩加权获得。其中，必修课平均学分绩点（GPA）成绩占综合遴选成绩的80%，综合评价指标成绩占综合遴选成绩的20%。</w:t>
      </w:r>
    </w:p>
    <w:p>
      <w:pPr>
        <w:spacing w:after="80" w:lineRule="auto" w:line="360"/>
        <w:ind w:firstLine="482"/>
        <w:jc w:val="both"/>
      </w:pPr>
      <w:r>
        <w:rPr>
          <w:rFonts w:ascii="Times New Roman" w:hAnsi="Times New Roman" w:eastAsia="宋体"/>
          <w:b w:val="0"/>
          <w:sz w:val="24"/>
        </w:rPr>
        <w:t>2. 综合评价指标成绩满分20分，由参军入伍服兵役、参加志愿服务（主要指支教、支农等具有较长时间服务的项目）、交流学习与实习、科研成果、竞赛获奖、主持省级及以上大学生科技创新课题、外语成绩、国家级或省级荣誉等8项全面发展价值导向指标构成。志愿服务以提供省部级获奖证书为准；科研成果、竞赛获奖根据具体内容、等级及名次赋分。在某一项指标中有多项得分情况时，得分不累加，只取最高级别的分值计算。</w:t>
      </w:r>
    </w:p>
    <w:p>
      <w:pPr>
        <w:spacing w:after="80" w:lineRule="auto" w:line="360"/>
        <w:ind w:firstLine="482"/>
        <w:jc w:val="both"/>
      </w:pPr>
      <w:r>
        <w:rPr>
          <w:rFonts w:ascii="Times New Roman" w:hAnsi="Times New Roman" w:eastAsia="宋体"/>
          <w:b w:val="0"/>
          <w:sz w:val="24"/>
        </w:rPr>
        <w:t>各项综合评价指标赋分按照《山西农业大学推荐优秀应届本科毕业生免试攻读研究生遴选方案》（农大行字〔2025〕1号）严格执行。</w:t>
      </w:r>
    </w:p>
    <w:p>
      <w:pPr>
        <w:spacing w:after="80" w:lineRule="auto" w:line="360"/>
        <w:ind w:firstLine="482"/>
        <w:jc w:val="both"/>
      </w:pPr>
      <w:r>
        <w:rPr>
          <w:rFonts w:ascii="Times New Roman" w:hAnsi="Times New Roman" w:eastAsia="宋体"/>
          <w:b w:val="0"/>
          <w:sz w:val="24"/>
        </w:rPr>
        <w:t>3. 必修课平均学分绩点（GPA）以教务部认定结果为准。计算办法严格按照《山西农业大学本科生学籍管理办法》第五章有关条款执行，其中，曾不及格课程成绩的绩点按照上述办法第五章第二十四条折合计算。综合评价指标由学院推免生遴选工作领导小组负责审核学生出具的证明材料，并进行公示。学院推免生遴选工作领导小组认定存在争议的加分指标，由学校推免生遴选工作领导小组负责进行最终裁定。对于提交的相关成果，为保证真实性，必要时学院将在审核基础上组织提交人进行相关成果的答辩，答辩全程要录音录像。</w:t>
      </w:r>
    </w:p>
    <w:p>
      <w:pPr>
        <w:spacing w:after="80" w:lineRule="auto" w:line="360"/>
        <w:ind w:firstLine="482"/>
        <w:jc w:val="both"/>
      </w:pPr>
      <w:r>
        <w:rPr>
          <w:rFonts w:ascii="Times New Roman" w:hAnsi="Times New Roman" w:eastAsia="宋体"/>
          <w:b w:val="0"/>
          <w:sz w:val="24"/>
        </w:rPr>
        <w:t>4. 综合遴选成绩=必修课平均学分绩点（GPA）/5*80+综合评价成绩。</w:t>
      </w:r>
    </w:p>
    <w:p>
      <w:pPr>
        <w:spacing w:after="80" w:lineRule="auto" w:line="360"/>
        <w:ind w:firstLine="482"/>
        <w:jc w:val="both"/>
      </w:pPr>
      <w:r>
        <w:rPr>
          <w:rFonts w:ascii="Times New Roman" w:hAnsi="Times New Roman" w:eastAsia="宋体"/>
          <w:b w:val="0"/>
          <w:sz w:val="24"/>
        </w:rPr>
        <w:t>5. 学院推免生遴选工作领导小组负责对申请推荐免试学生综合遴选成绩进行排序并公示，按照学生综合遴选成绩及推荐优秀本科生名额确定拟推荐名单，上报学校推免生遴选工作领导小组。学校汇总各单位推免生名单，进行公示。</w:t>
      </w:r>
    </w:p>
    <w:p>
      <w:pPr>
        <w:spacing w:before="160" w:after="80" w:lineRule="auto" w:line="360"/>
        <w:jc w:val="left"/>
      </w:pPr>
      <w:r>
        <w:rPr>
          <w:rFonts w:ascii="Times New Roman" w:hAnsi="Times New Roman" w:eastAsia="宋体"/>
          <w:b/>
          <w:sz w:val="28"/>
        </w:rPr>
        <w:t>三、指标分配</w:t>
      </w:r>
    </w:p>
    <w:p>
      <w:pPr>
        <w:spacing w:after="80" w:lineRule="auto" w:line="360"/>
        <w:ind w:firstLine="482"/>
        <w:jc w:val="both"/>
      </w:pPr>
      <w:r>
        <w:rPr>
          <w:rFonts w:ascii="Times New Roman" w:hAnsi="Times New Roman" w:eastAsia="宋体"/>
          <w:b w:val="0"/>
          <w:sz w:val="24"/>
        </w:rPr>
        <w:t>本年度学校向我院下达的推免生指标数为44名，其中植物保护专业合计推荐38人（包括本硕统筹2204班30人及其他班8人），动植物检疫（植物检疫方向）专业推荐4人，生物农药科学与工程专业推荐2人。国家一流专业和省级一流专业指标面向本学科专业发展而设定，具体指标分配如下：</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专业</w:t>
            </w:r>
          </w:p>
        </w:tc>
        <w:tc>
          <w:tcPr>
            <w:tcW w:type="dxa" w:w="1233"/>
          </w:tcPr>
          <w:p>
            <w:pPr>
              <w:spacing w:after="20" w:before="20"/>
            </w:pPr>
            <w:r/>
            <w:r>
              <w:rPr>
                <w:rFonts w:ascii="Times New Roman" w:hAnsi="Times New Roman" w:eastAsia="宋体"/>
                <w:b/>
                <w:sz w:val="21"/>
              </w:rPr>
              <w:t>人数</w:t>
            </w:r>
          </w:p>
        </w:tc>
        <w:tc>
          <w:tcPr>
            <w:tcW w:type="dxa" w:w="1233"/>
          </w:tcPr>
          <w:p>
            <w:pPr>
              <w:spacing w:after="20" w:before="20"/>
            </w:pPr>
            <w:r/>
            <w:r>
              <w:rPr>
                <w:rFonts w:ascii="Times New Roman" w:hAnsi="Times New Roman" w:eastAsia="宋体"/>
                <w:b/>
                <w:sz w:val="21"/>
              </w:rPr>
              <w:t>人数指标</w:t>
            </w:r>
          </w:p>
        </w:tc>
        <w:tc>
          <w:tcPr>
            <w:tcW w:type="dxa" w:w="1233"/>
          </w:tcPr>
          <w:p>
            <w:pPr>
              <w:spacing w:after="20" w:before="20"/>
            </w:pPr>
            <w:r/>
            <w:r>
              <w:rPr>
                <w:rFonts w:ascii="Times New Roman" w:hAnsi="Times New Roman" w:eastAsia="宋体"/>
                <w:b/>
                <w:sz w:val="21"/>
              </w:rPr>
              <w:t>国家级一流专业</w:t>
            </w:r>
          </w:p>
        </w:tc>
        <w:tc>
          <w:tcPr>
            <w:tcW w:type="dxa" w:w="1233"/>
          </w:tcPr>
          <w:p>
            <w:pPr>
              <w:spacing w:after="20" w:before="20"/>
            </w:pPr>
            <w:r/>
            <w:r>
              <w:rPr>
                <w:rFonts w:ascii="Times New Roman" w:hAnsi="Times New Roman" w:eastAsia="宋体"/>
                <w:b/>
                <w:sz w:val="21"/>
              </w:rPr>
              <w:t>省级一流专业</w:t>
            </w:r>
          </w:p>
        </w:tc>
        <w:tc>
          <w:tcPr>
            <w:tcW w:type="dxa" w:w="1233"/>
          </w:tcPr>
          <w:p>
            <w:pPr>
              <w:spacing w:after="20" w:before="20"/>
            </w:pPr>
            <w:r/>
            <w:r>
              <w:rPr>
                <w:rFonts w:ascii="Times New Roman" w:hAnsi="Times New Roman" w:eastAsia="宋体"/>
                <w:b/>
                <w:sz w:val="21"/>
              </w:rPr>
              <w:t>卓越人才实验班</w:t>
            </w:r>
          </w:p>
        </w:tc>
        <w:tc>
          <w:tcPr>
            <w:tcW w:type="dxa" w:w="1233"/>
          </w:tcPr>
          <w:p>
            <w:pPr>
              <w:spacing w:after="20" w:before="20"/>
            </w:pPr>
            <w:r/>
            <w:r>
              <w:rPr>
                <w:rFonts w:ascii="Times New Roman" w:hAnsi="Times New Roman" w:eastAsia="宋体"/>
                <w:b/>
                <w:sz w:val="21"/>
              </w:rPr>
              <w:t>合计</w:t>
            </w:r>
          </w:p>
        </w:tc>
      </w:tr>
      <w:tr>
        <w:tc>
          <w:tcPr>
            <w:tcW w:type="dxa" w:w="1233"/>
          </w:tcPr>
          <w:p>
            <w:pPr>
              <w:spacing w:after="20" w:before="20"/>
            </w:pPr>
            <w:r/>
            <w:r>
              <w:rPr>
                <w:rFonts w:ascii="Times New Roman" w:hAnsi="Times New Roman" w:eastAsia="宋体"/>
                <w:b w:val="0"/>
                <w:sz w:val="21"/>
              </w:rPr>
              <w:t>植物保护</w:t>
            </w:r>
          </w:p>
        </w:tc>
        <w:tc>
          <w:tcPr>
            <w:tcW w:type="dxa" w:w="1233"/>
          </w:tcPr>
          <w:p>
            <w:pPr>
              <w:spacing w:after="20" w:before="20"/>
            </w:pPr>
            <w:r/>
            <w:r>
              <w:rPr>
                <w:rFonts w:ascii="Times New Roman" w:hAnsi="Times New Roman" w:eastAsia="宋体"/>
                <w:b w:val="0"/>
                <w:sz w:val="21"/>
              </w:rPr>
              <w:t>植保2201,2202（60）</w:t>
            </w:r>
          </w:p>
        </w:tc>
        <w:tc>
          <w:tcPr>
            <w:tcW w:type="dxa" w:w="1233"/>
          </w:tcPr>
          <w:p>
            <w:pPr>
              <w:spacing w:after="20" w:before="20"/>
            </w:pPr>
            <w:r/>
            <w:r>
              <w:rPr>
                <w:rFonts w:ascii="Times New Roman" w:hAnsi="Times New Roman" w:eastAsia="宋体"/>
                <w:b w:val="0"/>
                <w:sz w:val="21"/>
              </w:rPr>
              <w:t>23</w:t>
            </w:r>
          </w:p>
        </w:tc>
        <w:tc>
          <w:tcPr>
            <w:tcW w:type="dxa" w:w="1233"/>
          </w:tcPr>
          <w:p>
            <w:pPr>
              <w:spacing w:after="20" w:before="20"/>
            </w:pPr>
            <w:r/>
            <w:r>
              <w:rPr>
                <w:rFonts w:ascii="Times New Roman" w:hAnsi="Times New Roman" w:eastAsia="宋体"/>
                <w:b w:val="0"/>
                <w:sz w:val="21"/>
              </w:rPr>
              <w:t>0</w:t>
            </w:r>
          </w:p>
        </w:tc>
        <w:tc>
          <w:tcPr>
            <w:tcW w:type="dxa" w:w="1233"/>
          </w:tcPr>
          <w:p>
            <w:pPr>
              <w:spacing w:after="20" w:before="20"/>
            </w:pPr>
            <w:r/>
            <w:r>
              <w:rPr>
                <w:rFonts w:ascii="Times New Roman" w:hAnsi="Times New Roman" w:eastAsia="宋体"/>
                <w:b w:val="0"/>
                <w:sz w:val="21"/>
              </w:rPr>
              <w:t>0</w:t>
            </w:r>
          </w:p>
        </w:tc>
        <w:tc>
          <w:tcPr>
            <w:tcW w:type="dxa" w:w="1233"/>
          </w:tcPr>
          <w:p>
            <w:pPr>
              <w:spacing w:after="20" w:before="20"/>
            </w:pPr>
            <w:r/>
            <w:r>
              <w:rPr>
                <w:rFonts w:ascii="Times New Roman" w:hAnsi="Times New Roman" w:eastAsia="宋体"/>
                <w:b w:val="0"/>
                <w:sz w:val="21"/>
              </w:rPr>
              <w:t>8</w:t>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植物保护</w:t>
            </w:r>
          </w:p>
        </w:tc>
        <w:tc>
          <w:tcPr>
            <w:tcW w:type="dxa" w:w="1233"/>
          </w:tcPr>
          <w:p>
            <w:pPr>
              <w:spacing w:after="20" w:before="20"/>
            </w:pPr>
            <w:r/>
            <w:r>
              <w:rPr>
                <w:rFonts w:ascii="Times New Roman" w:hAnsi="Times New Roman" w:eastAsia="宋体"/>
                <w:b w:val="0"/>
                <w:sz w:val="21"/>
              </w:rPr>
              <w:t>植保2203卓越班（29）</w:t>
            </w:r>
          </w:p>
        </w:tc>
        <w:tc>
          <w:tcPr>
            <w:tcW w:type="dxa" w:w="1233"/>
          </w:tcPr>
          <w:p>
            <w:pPr>
              <w:spacing w:after="20" w:before="20"/>
            </w:pPr>
            <w:r/>
            <w:r>
              <w:rPr>
                <w:rFonts w:ascii="Times New Roman" w:hAnsi="Times New Roman" w:eastAsia="宋体"/>
                <w:b w:val="0"/>
                <w:sz w:val="21"/>
              </w:rPr>
              <w:t>12</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植物保护</w:t>
            </w:r>
          </w:p>
        </w:tc>
        <w:tc>
          <w:tcPr>
            <w:tcW w:type="dxa" w:w="1233"/>
          </w:tcPr>
          <w:p>
            <w:pPr>
              <w:spacing w:after="20" w:before="20"/>
            </w:pPr>
            <w:r/>
            <w:r>
              <w:rPr>
                <w:rFonts w:ascii="Times New Roman" w:hAnsi="Times New Roman" w:eastAsia="宋体"/>
                <w:b w:val="0"/>
                <w:sz w:val="21"/>
              </w:rPr>
              <w:t>本硕统筹2204班（30）</w:t>
            </w:r>
          </w:p>
        </w:tc>
        <w:tc>
          <w:tcPr>
            <w:tcW w:type="dxa" w:w="1233"/>
          </w:tcPr>
          <w:p>
            <w:pPr>
              <w:spacing w:after="20" w:before="20"/>
            </w:pPr>
            <w:r/>
            <w:r>
              <w:rPr>
                <w:rFonts w:ascii="Times New Roman" w:hAnsi="Times New Roman" w:eastAsia="宋体"/>
                <w:b w:val="0"/>
                <w:sz w:val="21"/>
              </w:rPr>
              <w:t>30</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30</w:t>
            </w:r>
          </w:p>
        </w:tc>
      </w:tr>
      <w:tr>
        <w:tc>
          <w:tcPr>
            <w:tcW w:type="dxa" w:w="1233"/>
          </w:tcPr>
          <w:p>
            <w:pPr>
              <w:spacing w:after="20" w:before="20"/>
            </w:pPr>
            <w:r/>
            <w:r>
              <w:rPr>
                <w:rFonts w:ascii="Times New Roman" w:hAnsi="Times New Roman" w:eastAsia="宋体"/>
                <w:b w:val="0"/>
                <w:sz w:val="21"/>
              </w:rPr>
              <w:t>动植物检疫（植物检疫方向）</w:t>
            </w:r>
          </w:p>
        </w:tc>
        <w:tc>
          <w:tcPr>
            <w:tcW w:type="dxa" w:w="1233"/>
          </w:tcPr>
          <w:p>
            <w:pPr>
              <w:spacing w:after="20" w:before="20"/>
            </w:pPr>
            <w:r/>
            <w:r>
              <w:rPr>
                <w:rFonts w:ascii="Times New Roman" w:hAnsi="Times New Roman" w:eastAsia="宋体"/>
                <w:b w:val="0"/>
                <w:sz w:val="21"/>
              </w:rPr>
              <w:t>79</w:t>
            </w:r>
          </w:p>
        </w:tc>
        <w:tc>
          <w:tcPr>
            <w:tcW w:type="dxa" w:w="1233"/>
          </w:tcPr>
          <w:p>
            <w:pPr>
              <w:spacing w:after="20" w:before="20"/>
            </w:pPr>
            <w:r/>
            <w:r>
              <w:rPr>
                <w:rFonts w:ascii="Times New Roman" w:hAnsi="Times New Roman" w:eastAsia="宋体"/>
                <w:b w:val="0"/>
                <w:sz w:val="21"/>
              </w:rPr>
              <w:t>30</w:t>
            </w:r>
          </w:p>
        </w:tc>
        <w:tc>
          <w:tcPr>
            <w:tcW w:type="dxa" w:w="1233"/>
          </w:tcPr>
          <w:p>
            <w:pPr>
              <w:spacing w:after="20" w:before="20"/>
            </w:pPr>
            <w:r/>
            <w:r>
              <w:rPr>
                <w:rFonts w:ascii="Times New Roman" w:hAnsi="Times New Roman" w:eastAsia="宋体"/>
                <w:b w:val="0"/>
                <w:sz w:val="21"/>
              </w:rPr>
              <w:t>10</w:t>
            </w:r>
          </w:p>
        </w:tc>
        <w:tc>
          <w:tcPr>
            <w:tcW w:type="dxa" w:w="1233"/>
          </w:tcPr>
          <w:p>
            <w:pPr>
              <w:spacing w:after="20" w:before="20"/>
            </w:pPr>
            <w:r/>
            <w:r>
              <w:rPr>
                <w:rFonts w:ascii="Times New Roman" w:hAnsi="Times New Roman" w:eastAsia="宋体"/>
                <w:b w:val="0"/>
                <w:sz w:val="21"/>
              </w:rPr>
              <w:t>4</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r>
          </w:p>
        </w:tc>
      </w:tr>
      <w:tr>
        <w:tc>
          <w:tcPr>
            <w:tcW w:type="dxa" w:w="1233"/>
          </w:tcPr>
          <w:p>
            <w:pPr>
              <w:spacing w:after="20" w:before="20"/>
            </w:pPr>
            <w:r/>
            <w:r>
              <w:rPr>
                <w:rFonts w:ascii="Times New Roman" w:hAnsi="Times New Roman" w:eastAsia="宋体"/>
                <w:b w:val="0"/>
                <w:sz w:val="21"/>
              </w:rPr>
              <w:t>生物农药科学与工程</w:t>
            </w:r>
          </w:p>
        </w:tc>
        <w:tc>
          <w:tcPr>
            <w:tcW w:type="dxa" w:w="1233"/>
          </w:tcPr>
          <w:p>
            <w:pPr>
              <w:spacing w:after="20" w:before="20"/>
            </w:pPr>
            <w:r/>
            <w:r>
              <w:rPr>
                <w:rFonts w:ascii="Times New Roman" w:hAnsi="Times New Roman" w:eastAsia="宋体"/>
                <w:b w:val="0"/>
                <w:sz w:val="21"/>
              </w:rPr>
              <w:t>54</w:t>
            </w:r>
          </w:p>
        </w:tc>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0</w:t>
            </w:r>
          </w:p>
        </w:tc>
        <w:tc>
          <w:tcPr>
            <w:tcW w:type="dxa" w:w="1233"/>
          </w:tcPr>
          <w:p>
            <w:pPr>
              <w:spacing w:after="20" w:before="20"/>
            </w:pPr>
            <w:r/>
            <w:r>
              <w:rPr>
                <w:rFonts w:ascii="Times New Roman" w:hAnsi="Times New Roman" w:eastAsia="宋体"/>
                <w:b w:val="0"/>
                <w:sz w:val="21"/>
              </w:rPr>
              <w:t>0</w:t>
            </w:r>
          </w:p>
        </w:tc>
        <w:tc>
          <w:tcPr>
            <w:tcW w:type="dxa" w:w="1233"/>
          </w:tcPr>
          <w:p>
            <w:pPr>
              <w:spacing w:after="20" w:before="20"/>
            </w:pPr>
            <w:r/>
            <w:r>
              <w:rPr>
                <w:rFonts w:ascii="Times New Roman" w:hAnsi="Times New Roman" w:eastAsia="宋体"/>
                <w:b w:val="0"/>
                <w:sz w:val="21"/>
              </w:rPr>
            </w:r>
          </w:p>
        </w:tc>
        <w:tc>
          <w:tcPr>
            <w:tcW w:type="dxa" w:w="1233"/>
          </w:tcPr>
          <w:p>
            <w:pPr>
              <w:spacing w:after="20" w:before="20"/>
            </w:pPr>
            <w:r/>
            <w:r>
              <w:rPr>
                <w:rFonts w:ascii="Times New Roman" w:hAnsi="Times New Roman" w:eastAsia="宋体"/>
                <w:b w:val="0"/>
                <w:sz w:val="21"/>
              </w:rPr>
              <w:t>2</w:t>
            </w:r>
          </w:p>
        </w:tc>
      </w:tr>
    </w:tbl>
    <w:p>
      <w:pPr>
        <w:spacing w:before="160" w:after="80" w:lineRule="auto" w:line="360"/>
        <w:jc w:val="left"/>
      </w:pPr>
      <w:r>
        <w:rPr>
          <w:rFonts w:ascii="Times New Roman" w:hAnsi="Times New Roman" w:eastAsia="宋体"/>
          <w:b/>
          <w:sz w:val="28"/>
        </w:rPr>
        <w:t>四、提交材料</w:t>
      </w:r>
    </w:p>
    <w:p>
      <w:pPr>
        <w:spacing w:after="80" w:lineRule="auto" w:line="360"/>
        <w:ind w:firstLine="482"/>
        <w:jc w:val="both"/>
      </w:pPr>
      <w:r>
        <w:rPr>
          <w:rFonts w:ascii="Times New Roman" w:hAnsi="Times New Roman" w:eastAsia="宋体"/>
          <w:b w:val="0"/>
          <w:sz w:val="24"/>
        </w:rPr>
        <w:t>1.《山西农业大学推荐免试攻读研究生思想品德考核表》纸质版2份和电子版（附件3）；</w:t>
      </w:r>
    </w:p>
    <w:p>
      <w:pPr>
        <w:spacing w:after="80" w:lineRule="auto" w:line="360"/>
        <w:ind w:firstLine="482"/>
        <w:jc w:val="both"/>
      </w:pPr>
      <w:r>
        <w:rPr>
          <w:rFonts w:ascii="Times New Roman" w:hAnsi="Times New Roman" w:eastAsia="宋体"/>
          <w:b w:val="0"/>
          <w:sz w:val="24"/>
        </w:rPr>
        <w:t>2.《山西农业大学推荐免试攻读研究生资格申请表》纸质版2份和电子版（附件4）；</w:t>
      </w:r>
    </w:p>
    <w:p>
      <w:pPr>
        <w:spacing w:after="80" w:lineRule="auto" w:line="360"/>
        <w:ind w:firstLine="482"/>
        <w:jc w:val="both"/>
      </w:pPr>
      <w:r>
        <w:rPr>
          <w:rFonts w:ascii="Times New Roman" w:hAnsi="Times New Roman" w:eastAsia="宋体"/>
          <w:b w:val="0"/>
          <w:sz w:val="24"/>
        </w:rPr>
        <w:t>3.《山西农业大学推荐免试攻读研究生综合评价成绩计算表》及相应证明材料（原件）纸质版2份和电子版（附件5）。</w:t>
      </w:r>
    </w:p>
    <w:p>
      <w:pPr>
        <w:spacing w:after="80" w:lineRule="auto" w:line="360"/>
        <w:ind w:firstLine="482"/>
        <w:jc w:val="both"/>
      </w:pPr>
      <w:r>
        <w:rPr>
          <w:rFonts w:ascii="Times New Roman" w:hAnsi="Times New Roman" w:eastAsia="宋体"/>
          <w:b w:val="0"/>
          <w:sz w:val="24"/>
        </w:rPr>
        <w:t>4. 综合评价成绩中所涉及的8项全面发展价值导向指标均需提供支撑材料的原件和复印件。参军入伍服兵役（证明）、参加志愿服务（证明）、到国际组织实习（证明）、科研成果（论文或检索报告等）、竞赛获奖（荣誉证书）、主持省级及以上大学生科技创新课题（结题证书等）、外语六级（证书）、国家级荣誉（荣誉证书）。</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2025年8月30日下午6：00前学生提交相关材料。</w:t>
      </w:r>
    </w:p>
    <w:p>
      <w:pPr>
        <w:spacing w:after="80" w:lineRule="auto" w:line="360"/>
        <w:ind w:firstLine="482"/>
        <w:jc w:val="both"/>
      </w:pPr>
      <w:r>
        <w:rPr>
          <w:rFonts w:ascii="Times New Roman" w:hAnsi="Times New Roman" w:eastAsia="宋体"/>
          <w:b w:val="0"/>
          <w:sz w:val="24"/>
        </w:rPr>
        <w:t>2. 2025年8月31日—9月5日，推免生遴选工作领导小组对符合条件申请者GPA排名、综合评价指标材料审核，计算综合遴选成绩，按照各专业推荐名额，确定拟推荐学生名单，将植物保护学院2026年推荐优秀应届本科毕业生免试攻读研究生结果在学院网站公示，公示期不少于3个工作日。</w:t>
      </w:r>
    </w:p>
    <w:p>
      <w:pPr>
        <w:spacing w:after="80" w:lineRule="auto" w:line="360"/>
        <w:ind w:firstLine="482"/>
        <w:jc w:val="both"/>
      </w:pPr>
      <w:r>
        <w:rPr>
          <w:rFonts w:ascii="Times New Roman" w:hAnsi="Times New Roman" w:eastAsia="宋体"/>
          <w:b w:val="0"/>
          <w:sz w:val="24"/>
        </w:rPr>
        <w:t>3. 2025年9月6日，将推免材料报送学校。</w:t>
      </w:r>
    </w:p>
    <w:p>
      <w:pPr>
        <w:spacing w:after="80" w:lineRule="auto" w:line="360"/>
        <w:ind w:firstLine="482"/>
        <w:jc w:val="both"/>
      </w:pPr>
      <w:r>
        <w:rPr>
          <w:rFonts w:ascii="Times New Roman" w:hAnsi="Times New Roman" w:eastAsia="宋体"/>
          <w:b w:val="0"/>
          <w:sz w:val="24"/>
        </w:rPr>
        <w:t>4. 学校审核公示。学校将对提交的拟推荐学生进行审核并进行公示。</w:t>
      </w:r>
    </w:p>
    <w:p>
      <w:pPr>
        <w:spacing w:after="80" w:lineRule="auto" w:line="360"/>
        <w:ind w:firstLine="482"/>
        <w:jc w:val="both"/>
      </w:pPr>
      <w:r>
        <w:rPr>
          <w:rFonts w:ascii="Times New Roman" w:hAnsi="Times New Roman" w:eastAsia="宋体"/>
          <w:b w:val="0"/>
          <w:sz w:val="24"/>
        </w:rPr>
        <w:t>5. 推免学生注册报名。根据学校最终公布的获得推荐资格的学生名单，通知学生在规定时间内登陆推免服务系统，注册填写个人基本信息、上传照片、上传成绩单，填写报考志愿，接收并确认招生单位的复试及待录取通知等。</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教育部建立的“全国推荐优秀应届本科毕业生免试攻读研究生信息公开暨管理服务系统”（简称“推免服务系统”，网址:http://yz.chsi.com.cn/tm），是推免工作统一的信息备案公开平台和网上报考录取系统。推免生（含推免硕士生和直博生）资格审核确认、报考、录取以及备案公开等相关工作均通过“推免服务系统”进行。</w:t>
      </w:r>
    </w:p>
    <w:p>
      <w:pPr>
        <w:spacing w:after="80" w:lineRule="auto" w:line="360"/>
        <w:ind w:firstLine="482"/>
        <w:jc w:val="both"/>
      </w:pPr>
      <w:r>
        <w:rPr>
          <w:rFonts w:ascii="Times New Roman" w:hAnsi="Times New Roman" w:eastAsia="宋体"/>
          <w:b w:val="0"/>
          <w:sz w:val="24"/>
        </w:rPr>
        <w:t>2. 建立责任追究制度。推免工作务必要公平、公正、公开，高度重视资料保存、工作留痕，做到推免工作有迹可查。参加推免的工作人员，应当坚守底线思维，签署推免工作责任书，学院纪委委员负责监督推免和接收工作的全过程，一旦发现有违反遴选纪律者，将严肃查处。</w:t>
      </w:r>
    </w:p>
    <w:p>
      <w:pPr>
        <w:spacing w:after="80" w:lineRule="auto" w:line="360"/>
        <w:ind w:firstLine="482"/>
        <w:jc w:val="both"/>
      </w:pPr>
      <w:r>
        <w:rPr>
          <w:rFonts w:ascii="Times New Roman" w:hAnsi="Times New Roman" w:eastAsia="宋体"/>
          <w:b w:val="0"/>
          <w:sz w:val="24"/>
        </w:rPr>
        <w:t>3. 建立回避制度。有直系亲属或利益相关人参加推免招生的应主动申请回避，有非直系亲属等报名参加推免招生的要主动报备。</w:t>
      </w:r>
    </w:p>
    <w:p>
      <w:pPr>
        <w:spacing w:after="80" w:lineRule="auto" w:line="360"/>
        <w:ind w:firstLine="482"/>
        <w:jc w:val="both"/>
      </w:pPr>
      <w:r>
        <w:rPr>
          <w:rFonts w:ascii="Times New Roman" w:hAnsi="Times New Roman" w:eastAsia="宋体"/>
          <w:b w:val="0"/>
          <w:sz w:val="24"/>
        </w:rPr>
        <w:t>4. 对在申请推免生过程中弄虚作假的学生，一经发现，即取消推免生资格，对已录取者取消录取资格和学籍，由推荐单位按学生管理规定进行相应处理。</w:t>
      </w:r>
    </w:p>
    <w:p>
      <w:pPr>
        <w:spacing w:after="80" w:lineRule="auto" w:line="360"/>
        <w:ind w:firstLine="482"/>
        <w:jc w:val="both"/>
      </w:pPr>
      <w:r>
        <w:rPr>
          <w:rFonts w:ascii="Times New Roman" w:hAnsi="Times New Roman" w:eastAsia="宋体"/>
          <w:b w:val="0"/>
          <w:sz w:val="24"/>
        </w:rPr>
        <w:t>5. 学生对推免生工作有异议，可向院（部）推免生遴选工作领导小组反映，也可直接向驻校纪检监察组、教务部申诉。</w:t>
      </w:r>
    </w:p>
    <w:p>
      <w:pPr>
        <w:spacing w:after="80" w:lineRule="auto" w:line="360"/>
        <w:ind w:firstLine="482"/>
        <w:jc w:val="both"/>
      </w:pPr>
      <w:r>
        <w:rPr>
          <w:rFonts w:ascii="Times New Roman" w:hAnsi="Times New Roman" w:eastAsia="宋体"/>
          <w:b w:val="0"/>
          <w:sz w:val="24"/>
        </w:rPr>
        <w:t>6. 本方案由植物保护学院推免生遴选工作领导组负责解释。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