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262" w:lineRule="auto"/>
        <w:rPr/>
      </w:pPr>
      <w:r/>
    </w:p>
    <w:p>
      <w:pPr>
        <w:pStyle w:val="BodyText"/>
        <w:spacing w:line="262" w:lineRule="auto"/>
        <w:rPr/>
      </w:pPr>
      <w:r/>
    </w:p>
    <w:p>
      <w:pPr>
        <w:pStyle w:val="BodyText"/>
        <w:spacing w:line="262" w:lineRule="auto"/>
        <w:rPr/>
      </w:pPr>
      <w:r/>
    </w:p>
    <w:p>
      <w:pPr>
        <w:pStyle w:val="BodyText"/>
        <w:spacing w:line="263" w:lineRule="auto"/>
        <w:rPr/>
      </w:pPr>
      <w:r/>
    </w:p>
    <w:p>
      <w:pPr>
        <w:pStyle w:val="BodyText"/>
        <w:spacing w:line="263" w:lineRule="auto"/>
        <w:rPr/>
      </w:pPr>
      <w:r/>
    </w:p>
    <w:p>
      <w:pPr>
        <w:pStyle w:val="BodyText"/>
        <w:spacing w:line="263" w:lineRule="auto"/>
        <w:rPr/>
      </w:pPr>
      <w:r/>
    </w:p>
    <w:p>
      <w:pPr>
        <w:pStyle w:val="BodyText"/>
        <w:spacing w:line="263" w:lineRule="auto"/>
        <w:rPr/>
      </w:pPr>
      <w:r/>
    </w:p>
    <w:p>
      <w:pPr>
        <w:pStyle w:val="BodyText"/>
        <w:spacing w:line="263" w:lineRule="auto"/>
        <w:rPr/>
      </w:pPr>
      <w:r/>
    </w:p>
    <w:p>
      <w:pPr>
        <w:ind w:left="645"/>
        <w:spacing w:before="283" w:line="219" w:lineRule="auto"/>
        <w:outlineLvl w:val="0"/>
        <w:rPr>
          <w:rFonts w:ascii="SimSun" w:hAnsi="SimSun" w:eastAsia="SimSun" w:cs="SimSun"/>
          <w:sz w:val="87"/>
          <w:szCs w:val="87"/>
        </w:rPr>
      </w:pPr>
      <w:r>
        <w:rPr>
          <w:rFonts w:ascii="SimSun" w:hAnsi="SimSun" w:eastAsia="SimSun" w:cs="SimSun"/>
          <w:sz w:val="87"/>
          <w:szCs w:val="87"/>
          <w:b/>
          <w:bCs/>
          <w:color w:val="E05040"/>
          <w:spacing w:val="-59"/>
        </w:rPr>
        <w:t>四川外国语大学文件</w:t>
      </w:r>
    </w:p>
    <w:p>
      <w:pPr>
        <w:pStyle w:val="BodyText"/>
        <w:spacing w:line="286" w:lineRule="auto"/>
        <w:rPr/>
      </w:pPr>
      <w:r/>
    </w:p>
    <w:p>
      <w:pPr>
        <w:pStyle w:val="BodyText"/>
        <w:spacing w:line="287" w:lineRule="auto"/>
        <w:rPr/>
      </w:pPr>
      <w:r/>
    </w:p>
    <w:p>
      <w:pPr>
        <w:ind w:left="3073"/>
        <w:spacing w:before="97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2"/>
        </w:rPr>
        <w:t>川外发〔2022〕113号</w:t>
      </w:r>
    </w:p>
    <w:p>
      <w:pPr>
        <w:ind w:firstLine="64"/>
        <w:spacing w:before="88" w:line="60" w:lineRule="exact"/>
        <w:rPr/>
      </w:pPr>
      <w:r>
        <w:rPr>
          <w:position w:val="-1"/>
        </w:rPr>
        <w:drawing>
          <wp:inline distT="0" distB="0" distL="0" distR="0">
            <wp:extent cx="5327669" cy="38121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27669" cy="38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346" w:lineRule="auto"/>
        <w:rPr/>
      </w:pPr>
      <w:r/>
    </w:p>
    <w:p>
      <w:pPr>
        <w:ind w:left="3010"/>
        <w:spacing w:before="144" w:line="219" w:lineRule="auto"/>
        <w:rPr>
          <w:rFonts w:ascii="SimSun" w:hAnsi="SimSun" w:eastAsia="SimSun" w:cs="SimSun"/>
          <w:sz w:val="44"/>
          <w:szCs w:val="44"/>
        </w:rPr>
      </w:pPr>
      <w:r>
        <w:rPr>
          <w:rFonts w:ascii="SimSun" w:hAnsi="SimSun" w:eastAsia="SimSun" w:cs="SimSun"/>
          <w:sz w:val="44"/>
          <w:szCs w:val="44"/>
          <w:b/>
          <w:bCs/>
          <w:spacing w:val="-26"/>
        </w:rPr>
        <w:t>四川外国语大学</w:t>
      </w:r>
    </w:p>
    <w:p>
      <w:pPr>
        <w:ind w:left="210"/>
        <w:spacing w:before="85" w:line="219" w:lineRule="auto"/>
        <w:rPr>
          <w:rFonts w:ascii="SimSun" w:hAnsi="SimSun" w:eastAsia="SimSun" w:cs="SimSun"/>
          <w:sz w:val="44"/>
          <w:szCs w:val="44"/>
        </w:rPr>
      </w:pPr>
      <w:r>
        <w:rPr>
          <w:rFonts w:ascii="SimSun" w:hAnsi="SimSun" w:eastAsia="SimSun" w:cs="SimSun"/>
          <w:sz w:val="44"/>
          <w:szCs w:val="44"/>
          <w:b/>
          <w:bCs/>
          <w:spacing w:val="-26"/>
        </w:rPr>
        <w:t>关于印发《四川外国语大学关于教授联名推荐</w:t>
      </w:r>
    </w:p>
    <w:p>
      <w:pPr>
        <w:ind w:left="260"/>
        <w:spacing w:before="8" w:line="219" w:lineRule="auto"/>
        <w:rPr>
          <w:rFonts w:ascii="SimSun" w:hAnsi="SimSun" w:eastAsia="SimSun" w:cs="SimSun"/>
          <w:sz w:val="44"/>
          <w:szCs w:val="44"/>
        </w:rPr>
      </w:pPr>
      <w:r>
        <w:rPr>
          <w:rFonts w:ascii="SimSun" w:hAnsi="SimSun" w:eastAsia="SimSun" w:cs="SimSun"/>
          <w:sz w:val="44"/>
          <w:szCs w:val="44"/>
          <w:b/>
          <w:bCs/>
          <w:spacing w:val="-26"/>
        </w:rPr>
        <w:t>“学术特长生”免试攻读硕士学位研究生的实</w:t>
      </w:r>
    </w:p>
    <w:p>
      <w:pPr>
        <w:ind w:left="2290"/>
        <w:spacing w:before="11" w:line="219" w:lineRule="auto"/>
        <w:rPr>
          <w:rFonts w:ascii="SimSun" w:hAnsi="SimSun" w:eastAsia="SimSun" w:cs="SimSun"/>
          <w:sz w:val="44"/>
          <w:szCs w:val="44"/>
        </w:rPr>
      </w:pPr>
      <w:r>
        <w:rPr>
          <w:rFonts w:ascii="SimSun" w:hAnsi="SimSun" w:eastAsia="SimSun" w:cs="SimSun"/>
          <w:sz w:val="44"/>
          <w:szCs w:val="44"/>
          <w:b/>
          <w:bCs/>
          <w:spacing w:val="-6"/>
        </w:rPr>
        <w:t>施办法(修订)》的通知</w:t>
      </w:r>
    </w:p>
    <w:p>
      <w:pPr>
        <w:pStyle w:val="BodyText"/>
        <w:spacing w:line="330" w:lineRule="auto"/>
        <w:rPr/>
      </w:pPr>
      <w:r/>
    </w:p>
    <w:p>
      <w:pPr>
        <w:pStyle w:val="BodyText"/>
        <w:spacing w:line="331" w:lineRule="auto"/>
        <w:rPr/>
      </w:pPr>
      <w:r/>
    </w:p>
    <w:p>
      <w:pPr>
        <w:ind w:left="204"/>
        <w:spacing w:before="98" w:line="221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"/>
        </w:rPr>
        <w:t>校内各单位：</w:t>
      </w:r>
    </w:p>
    <w:p>
      <w:pPr>
        <w:ind w:left="204" w:firstLine="430"/>
        <w:spacing w:before="155" w:line="360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28"/>
          <w:szCs w:val="28"/>
          <w:spacing w:val="18"/>
        </w:rPr>
        <w:t>《四川外国语大学关于教授联名推荐“学术特长生”免试攻读</w:t>
      </w:r>
      <w:r>
        <w:rPr>
          <w:rFonts w:ascii="FangSong" w:hAnsi="FangSong" w:eastAsia="FangSong" w:cs="FangSong"/>
          <w:sz w:val="28"/>
          <w:szCs w:val="28"/>
          <w:spacing w:val="3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41"/>
        </w:rPr>
        <w:t>硕士学位研究生的实施办法(修订稿&gt;》经学校2022年9月7日</w:t>
      </w:r>
      <w:r>
        <w:rPr>
          <w:rFonts w:ascii="FangSong" w:hAnsi="FangSong" w:eastAsia="FangSong" w:cs="FangSong"/>
          <w:sz w:val="28"/>
          <w:szCs w:val="28"/>
          <w:spacing w:val="3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7"/>
        </w:rPr>
        <w:t>第25次校长办公会审定，现予印发，请遵照执行。</w:t>
      </w:r>
    </w:p>
    <w:p>
      <w:pPr>
        <w:ind w:left="853"/>
        <w:spacing w:before="23" w:line="224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特此通知</w:t>
      </w:r>
    </w:p>
    <w:p>
      <w:pPr>
        <w:pStyle w:val="BodyText"/>
        <w:spacing w:line="296" w:lineRule="auto"/>
        <w:rPr/>
      </w:pPr>
      <w:r/>
    </w:p>
    <w:p>
      <w:pPr>
        <w:pStyle w:val="BodyText"/>
        <w:spacing w:line="296" w:lineRule="auto"/>
        <w:rPr/>
      </w:pPr>
      <w:r/>
    </w:p>
    <w:p>
      <w:pPr>
        <w:pStyle w:val="BodyText"/>
        <w:spacing w:line="296" w:lineRule="auto"/>
        <w:rPr/>
      </w:pPr>
      <w:r/>
    </w:p>
    <w:p>
      <w:pPr>
        <w:pStyle w:val="BodyText"/>
        <w:spacing w:line="297" w:lineRule="auto"/>
        <w:rPr/>
      </w:pPr>
      <w:r/>
    </w:p>
    <w:p>
      <w:pPr>
        <w:ind w:left="6054"/>
        <w:spacing w:before="92" w:line="222" w:lineRule="auto"/>
        <w:rPr>
          <w:rFonts w:ascii="FangSong" w:hAnsi="FangSong" w:eastAsia="FangSong" w:cs="FangSong"/>
          <w:sz w:val="28"/>
          <w:szCs w:val="28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4015765</wp:posOffset>
            </wp:positionH>
            <wp:positionV relativeFrom="paragraph">
              <wp:posOffset>-696793</wp:posOffset>
            </wp:positionV>
            <wp:extent cx="1422349" cy="1409684"/>
            <wp:effectExtent l="0" t="0" r="0" b="0"/>
            <wp:wrapNone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22349" cy="1409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hAnsi="FangSong" w:eastAsia="FangSong" w:cs="FangSong"/>
          <w:sz w:val="28"/>
          <w:szCs w:val="28"/>
          <w:spacing w:val="4"/>
        </w:rPr>
        <w:t>四川外国</w:t>
      </w:r>
      <w:r>
        <w:rPr>
          <w:rFonts w:ascii="FangSong" w:hAnsi="FangSong" w:eastAsia="FangSong" w:cs="FangSong"/>
          <w:sz w:val="28"/>
          <w:szCs w:val="28"/>
          <w:spacing w:val="-74"/>
        </w:rPr>
        <w:t xml:space="preserve"> </w:t>
      </w:r>
      <w:r>
        <w:rPr>
          <w:rFonts w:ascii="FangSong" w:hAnsi="FangSong" w:eastAsia="FangSong" w:cs="FangSong"/>
          <w:sz w:val="28"/>
          <w:szCs w:val="28"/>
          <w:spacing w:val="4"/>
        </w:rPr>
        <w:t>语大学</w:t>
      </w:r>
    </w:p>
    <w:p>
      <w:pPr>
        <w:ind w:left="6033"/>
        <w:spacing w:before="223" w:line="222" w:lineRule="auto"/>
        <w:rPr>
          <w:rFonts w:ascii="FangSong" w:hAnsi="FangSong" w:eastAsia="FangSong" w:cs="FangSong"/>
          <w:sz w:val="28"/>
          <w:szCs w:val="28"/>
        </w:rPr>
      </w:pPr>
      <w:r>
        <w:rPr>
          <w:rFonts w:ascii="FangSong" w:hAnsi="FangSong" w:eastAsia="FangSong" w:cs="FangSong"/>
          <w:sz w:val="28"/>
          <w:szCs w:val="28"/>
          <w:spacing w:val="43"/>
        </w:rPr>
        <w:t>2022年9月23日</w:t>
      </w:r>
    </w:p>
    <w:p>
      <w:pPr>
        <w:spacing w:line="222" w:lineRule="auto"/>
        <w:sectPr>
          <w:pgSz w:w="12240" w:h="15840"/>
          <w:pgMar w:top="1346" w:right="1685" w:bottom="0" w:left="1836" w:header="0" w:footer="0" w:gutter="0"/>
        </w:sectPr>
        <w:rPr>
          <w:rFonts w:ascii="FangSong" w:hAnsi="FangSong" w:eastAsia="FangSong" w:cs="FangSong"/>
          <w:sz w:val="28"/>
          <w:szCs w:val="28"/>
        </w:rPr>
      </w:pPr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ind w:firstLine="180"/>
        <w:spacing w:line="1545" w:lineRule="exact"/>
        <w:rPr/>
      </w:pPr>
      <w:r>
        <w:rPr>
          <w:position w:val="-30"/>
        </w:rPr>
        <w:drawing>
          <wp:inline distT="0" distB="0" distL="0" distR="0">
            <wp:extent cx="1460511" cy="981096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60511" cy="98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8579" w:type="dxa"/>
        <w:tblInd w:w="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4376"/>
        <w:gridCol w:w="4203"/>
      </w:tblGrid>
      <w:tr>
        <w:trPr>
          <w:trHeight w:val="590" w:hRule="atLeast"/>
        </w:trPr>
        <w:tc>
          <w:tcPr>
            <w:tcW w:w="4376" w:type="dxa"/>
            <w:vAlign w:val="top"/>
            <w:tcBorders>
              <w:bottom w:val="single" w:color="000000" w:sz="2" w:space="0"/>
              <w:top w:val="single" w:color="000000" w:sz="4" w:space="0"/>
            </w:tcBorders>
          </w:tcPr>
          <w:p>
            <w:pPr>
              <w:ind w:left="340"/>
              <w:spacing w:before="144" w:line="222" w:lineRule="auto"/>
              <w:rPr>
                <w:rFonts w:ascii="FangSong" w:hAnsi="FangSong" w:eastAsia="FangSong" w:cs="FangSong"/>
                <w:sz w:val="26"/>
                <w:szCs w:val="26"/>
              </w:rPr>
            </w:pPr>
            <w:r>
              <w:rPr>
                <w:rFonts w:ascii="FangSong" w:hAnsi="FangSong" w:eastAsia="FangSong" w:cs="FangSong"/>
                <w:sz w:val="26"/>
                <w:szCs w:val="26"/>
                <w:spacing w:val="3"/>
              </w:rPr>
              <w:t>四川外国语大学办公室</w:t>
            </w:r>
          </w:p>
        </w:tc>
        <w:tc>
          <w:tcPr>
            <w:tcW w:w="4203" w:type="dxa"/>
            <w:vAlign w:val="top"/>
            <w:tcBorders>
              <w:bottom w:val="single" w:color="000000" w:sz="2" w:space="0"/>
              <w:top w:val="single" w:color="000000" w:sz="4" w:space="0"/>
            </w:tcBorders>
          </w:tcPr>
          <w:p>
            <w:pPr>
              <w:ind w:left="1494"/>
              <w:spacing w:before="112" w:line="222" w:lineRule="auto"/>
              <w:rPr>
                <w:rFonts w:ascii="FangSong" w:hAnsi="FangSong" w:eastAsia="FangSong" w:cs="FangSong"/>
                <w:sz w:val="26"/>
                <w:szCs w:val="26"/>
              </w:rPr>
            </w:pPr>
            <w:r>
              <w:rPr>
                <w:rFonts w:ascii="FangSong" w:hAnsi="FangSong" w:eastAsia="FangSong" w:cs="FangSong"/>
                <w:sz w:val="26"/>
                <w:szCs w:val="26"/>
                <w:spacing w:val="29"/>
              </w:rPr>
              <w:t>2022年9月23日印发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3"/>
          <w:pgSz w:w="12240" w:h="15840"/>
          <w:pgMar w:top="1346" w:right="1836" w:bottom="993" w:left="1789" w:header="0" w:footer="745" w:gutter="0"/>
        </w:sectPr>
        <w:rPr/>
      </w:pPr>
    </w:p>
    <w:p>
      <w:pPr>
        <w:pStyle w:val="BodyText"/>
        <w:spacing w:line="350" w:lineRule="auto"/>
        <w:rPr/>
      </w:pPr>
      <w:r/>
    </w:p>
    <w:p>
      <w:pPr>
        <w:ind w:left="2949"/>
        <w:spacing w:before="143" w:line="219" w:lineRule="auto"/>
        <w:rPr>
          <w:rFonts w:ascii="SimSun" w:hAnsi="SimSun" w:eastAsia="SimSun" w:cs="SimSun"/>
          <w:sz w:val="44"/>
          <w:szCs w:val="44"/>
        </w:rPr>
      </w:pPr>
      <w:r>
        <w:rPr>
          <w:rFonts w:ascii="SimSun" w:hAnsi="SimSun" w:eastAsia="SimSun" w:cs="SimSun"/>
          <w:sz w:val="44"/>
          <w:szCs w:val="44"/>
          <w:b/>
          <w:bCs/>
          <w:spacing w:val="-31"/>
        </w:rPr>
        <w:t>四川外国语大学</w:t>
      </w:r>
    </w:p>
    <w:p>
      <w:pPr>
        <w:ind w:left="459"/>
        <w:spacing w:before="44" w:line="219" w:lineRule="auto"/>
        <w:rPr>
          <w:rFonts w:ascii="SimSun" w:hAnsi="SimSun" w:eastAsia="SimSun" w:cs="SimSun"/>
          <w:sz w:val="44"/>
          <w:szCs w:val="44"/>
        </w:rPr>
      </w:pPr>
      <w:r>
        <w:rPr>
          <w:rFonts w:ascii="SimSun" w:hAnsi="SimSun" w:eastAsia="SimSun" w:cs="SimSun"/>
          <w:sz w:val="44"/>
          <w:szCs w:val="44"/>
          <w:b/>
          <w:bCs/>
          <w:spacing w:val="-29"/>
        </w:rPr>
        <w:t>关于教授联名推荐“学术特长生”免试攻读</w:t>
      </w:r>
    </w:p>
    <w:p>
      <w:pPr>
        <w:ind w:left="1070"/>
        <w:spacing w:before="48" w:line="219" w:lineRule="auto"/>
        <w:rPr>
          <w:rFonts w:ascii="SimSun" w:hAnsi="SimSun" w:eastAsia="SimSun" w:cs="SimSun"/>
          <w:sz w:val="44"/>
          <w:szCs w:val="44"/>
        </w:rPr>
      </w:pPr>
      <w:r>
        <w:rPr>
          <w:rFonts w:ascii="SimSun" w:hAnsi="SimSun" w:eastAsia="SimSun" w:cs="SimSun"/>
          <w:sz w:val="44"/>
          <w:szCs w:val="44"/>
          <w:b/>
          <w:bCs/>
          <w:spacing w:val="-10"/>
        </w:rPr>
        <w:t>硕士学位研究生的实施办法(修订)</w:t>
      </w:r>
    </w:p>
    <w:p>
      <w:pPr>
        <w:pStyle w:val="BodyText"/>
        <w:spacing w:line="314" w:lineRule="auto"/>
        <w:rPr/>
      </w:pPr>
      <w:r/>
    </w:p>
    <w:p>
      <w:pPr>
        <w:pStyle w:val="BodyText"/>
        <w:spacing w:line="315" w:lineRule="auto"/>
        <w:rPr/>
      </w:pPr>
      <w:r/>
    </w:p>
    <w:p>
      <w:pPr>
        <w:ind w:left="64" w:right="46" w:firstLine="679"/>
        <w:spacing w:before="94" w:line="355" w:lineRule="auto"/>
        <w:jc w:val="both"/>
        <w:rPr>
          <w:rFonts w:ascii="FangSong" w:hAnsi="FangSong" w:eastAsia="FangSong" w:cs="FangSong"/>
          <w:sz w:val="29"/>
          <w:szCs w:val="29"/>
        </w:rPr>
      </w:pPr>
      <w:r>
        <w:rPr>
          <w:rFonts w:ascii="FangSong" w:hAnsi="FangSong" w:eastAsia="FangSong" w:cs="FangSong"/>
          <w:sz w:val="29"/>
          <w:szCs w:val="29"/>
          <w:spacing w:val="12"/>
        </w:rPr>
        <w:t>根据教育部《全国普通高等学校推荐优秀应届本科毕业生免</w:t>
      </w:r>
      <w:r>
        <w:rPr>
          <w:rFonts w:ascii="FangSong" w:hAnsi="FangSong" w:eastAsia="FangSong" w:cs="FangSong"/>
          <w:sz w:val="29"/>
          <w:szCs w:val="29"/>
          <w:spacing w:val="18"/>
        </w:rPr>
        <w:t xml:space="preserve"> </w:t>
      </w:r>
      <w:r>
        <w:rPr>
          <w:rFonts w:ascii="FangSong" w:hAnsi="FangSong" w:eastAsia="FangSong" w:cs="FangSong"/>
          <w:sz w:val="29"/>
          <w:szCs w:val="29"/>
          <w:spacing w:val="16"/>
        </w:rPr>
        <w:t>试攻读硕士学位研究生工作管理办法(试行)》(教学〔2006〕14</w:t>
      </w:r>
      <w:r>
        <w:rPr>
          <w:rFonts w:ascii="FangSong" w:hAnsi="FangSong" w:eastAsia="FangSong" w:cs="FangSong"/>
          <w:sz w:val="29"/>
          <w:szCs w:val="29"/>
          <w:spacing w:val="13"/>
        </w:rPr>
        <w:t xml:space="preserve"> </w:t>
      </w:r>
      <w:r>
        <w:rPr>
          <w:rFonts w:ascii="FangSong" w:hAnsi="FangSong" w:eastAsia="FangSong" w:cs="FangSong"/>
          <w:sz w:val="29"/>
          <w:szCs w:val="29"/>
          <w:spacing w:val="19"/>
        </w:rPr>
        <w:t>号)、《关于进一步规范和加强推荐优秀应届本科毕业生免试攻</w:t>
      </w:r>
      <w:r>
        <w:rPr>
          <w:rFonts w:ascii="FangSong" w:hAnsi="FangSong" w:eastAsia="FangSong" w:cs="FangSong"/>
          <w:sz w:val="29"/>
          <w:szCs w:val="29"/>
        </w:rPr>
        <w:t xml:space="preserve"> </w:t>
      </w:r>
      <w:r>
        <w:rPr>
          <w:rFonts w:ascii="FangSong" w:hAnsi="FangSong" w:eastAsia="FangSong" w:cs="FangSong"/>
          <w:sz w:val="29"/>
          <w:szCs w:val="29"/>
          <w:spacing w:val="22"/>
        </w:rPr>
        <w:t>读研究生工作的通知》(教学厅〔2020〕12号)和《教育</w:t>
      </w:r>
      <w:r>
        <w:rPr>
          <w:rFonts w:ascii="FangSong" w:hAnsi="FangSong" w:eastAsia="FangSong" w:cs="FangSong"/>
          <w:sz w:val="29"/>
          <w:szCs w:val="29"/>
          <w:spacing w:val="21"/>
        </w:rPr>
        <w:t>部办公</w:t>
      </w:r>
      <w:r>
        <w:rPr>
          <w:rFonts w:ascii="FangSong" w:hAnsi="FangSong" w:eastAsia="FangSong" w:cs="FangSong"/>
          <w:sz w:val="29"/>
          <w:szCs w:val="29"/>
        </w:rPr>
        <w:t xml:space="preserve"> </w:t>
      </w:r>
      <w:r>
        <w:rPr>
          <w:rFonts w:ascii="FangSong" w:hAnsi="FangSong" w:eastAsia="FangSong" w:cs="FangSong"/>
          <w:sz w:val="29"/>
          <w:szCs w:val="29"/>
          <w:spacing w:val="23"/>
        </w:rPr>
        <w:t>厅关于做好2022年推荐优秀应届本科毕业生免试攻读研究生工</w:t>
      </w:r>
      <w:r>
        <w:rPr>
          <w:rFonts w:ascii="FangSong" w:hAnsi="FangSong" w:eastAsia="FangSong" w:cs="FangSong"/>
          <w:sz w:val="29"/>
          <w:szCs w:val="29"/>
          <w:spacing w:val="11"/>
        </w:rPr>
        <w:t xml:space="preserve"> </w:t>
      </w:r>
      <w:r>
        <w:rPr>
          <w:rFonts w:ascii="FangSong" w:hAnsi="FangSong" w:eastAsia="FangSong" w:cs="FangSong"/>
          <w:sz w:val="29"/>
          <w:szCs w:val="29"/>
          <w:spacing w:val="17"/>
        </w:rPr>
        <w:t>作的通知》(教学厅〔2021〕6号)的精神，现就其中推荐“有特</w:t>
      </w:r>
      <w:r>
        <w:rPr>
          <w:rFonts w:ascii="FangSong" w:hAnsi="FangSong" w:eastAsia="FangSong" w:cs="FangSong"/>
          <w:sz w:val="29"/>
          <w:szCs w:val="29"/>
          <w:spacing w:val="7"/>
        </w:rPr>
        <w:t xml:space="preserve"> </w:t>
      </w:r>
      <w:r>
        <w:rPr>
          <w:rFonts w:ascii="FangSong" w:hAnsi="FangSong" w:eastAsia="FangSong" w:cs="FangSong"/>
          <w:sz w:val="29"/>
          <w:szCs w:val="29"/>
          <w:spacing w:val="-4"/>
        </w:rPr>
        <w:t>殊学术专长”或“具有突出培养潜质者”(以下简称“学术特长生”)</w:t>
      </w:r>
      <w:r>
        <w:rPr>
          <w:rFonts w:ascii="FangSong" w:hAnsi="FangSong" w:eastAsia="FangSong" w:cs="FangSong"/>
          <w:sz w:val="29"/>
          <w:szCs w:val="29"/>
          <w:spacing w:val="16"/>
        </w:rPr>
        <w:t xml:space="preserve"> </w:t>
      </w:r>
      <w:r>
        <w:rPr>
          <w:rFonts w:ascii="FangSong" w:hAnsi="FangSong" w:eastAsia="FangSong" w:cs="FangSong"/>
          <w:sz w:val="29"/>
          <w:szCs w:val="29"/>
          <w:spacing w:val="7"/>
        </w:rPr>
        <w:t>免试攻读硕士学位研究生工作做如下规定：</w:t>
      </w:r>
    </w:p>
    <w:p>
      <w:pPr>
        <w:ind w:left="683"/>
        <w:spacing w:before="1" w:line="220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-11"/>
        </w:rPr>
        <w:t>一、“学术特长生”的认定</w:t>
      </w:r>
    </w:p>
    <w:p>
      <w:pPr>
        <w:ind w:left="64" w:right="90" w:firstLine="619"/>
        <w:spacing w:before="248" w:line="350" w:lineRule="auto"/>
        <w:jc w:val="both"/>
        <w:rPr>
          <w:rFonts w:ascii="FangSong" w:hAnsi="FangSong" w:eastAsia="FangSong" w:cs="FangSong"/>
          <w:sz w:val="29"/>
          <w:szCs w:val="29"/>
        </w:rPr>
      </w:pPr>
      <w:r>
        <w:rPr>
          <w:rFonts w:ascii="FangSong" w:hAnsi="FangSong" w:eastAsia="FangSong" w:cs="FangSong"/>
          <w:sz w:val="29"/>
          <w:szCs w:val="29"/>
          <w:spacing w:val="15"/>
        </w:rPr>
        <w:t>按“学术特长生”标准申请推免资格的学生，前三年课</w:t>
      </w:r>
      <w:r>
        <w:rPr>
          <w:rFonts w:ascii="FangSong" w:hAnsi="FangSong" w:eastAsia="FangSong" w:cs="FangSong"/>
          <w:sz w:val="29"/>
          <w:szCs w:val="29"/>
          <w:spacing w:val="14"/>
        </w:rPr>
        <w:t>程平</w:t>
      </w:r>
      <w:r>
        <w:rPr>
          <w:rFonts w:ascii="FangSong" w:hAnsi="FangSong" w:eastAsia="FangSong" w:cs="FangSong"/>
          <w:sz w:val="29"/>
          <w:szCs w:val="29"/>
        </w:rPr>
        <w:t xml:space="preserve"> </w:t>
      </w:r>
      <w:r>
        <w:rPr>
          <w:rFonts w:ascii="FangSong" w:hAnsi="FangSong" w:eastAsia="FangSong" w:cs="FangSong"/>
          <w:sz w:val="29"/>
          <w:szCs w:val="29"/>
          <w:spacing w:val="14"/>
        </w:rPr>
        <w:t>均成绩需名列本专业前50%,且需符合以下条</w:t>
      </w:r>
      <w:r>
        <w:rPr>
          <w:rFonts w:ascii="FangSong" w:hAnsi="FangSong" w:eastAsia="FangSong" w:cs="FangSong"/>
          <w:sz w:val="29"/>
          <w:szCs w:val="29"/>
          <w:spacing w:val="13"/>
        </w:rPr>
        <w:t>件之一者，方可视为</w:t>
      </w:r>
      <w:r>
        <w:rPr>
          <w:rFonts w:ascii="FangSong" w:hAnsi="FangSong" w:eastAsia="FangSong" w:cs="FangSong"/>
          <w:sz w:val="29"/>
          <w:szCs w:val="29"/>
        </w:rPr>
        <w:t xml:space="preserve"> </w:t>
      </w:r>
      <w:r>
        <w:rPr>
          <w:rFonts w:ascii="FangSong" w:hAnsi="FangSong" w:eastAsia="FangSong" w:cs="FangSong"/>
          <w:sz w:val="29"/>
          <w:szCs w:val="29"/>
          <w:spacing w:val="14"/>
        </w:rPr>
        <w:t>有特殊学术专长或具有突出培养潜质的人才，参加由教授联名推</w:t>
      </w:r>
      <w:r>
        <w:rPr>
          <w:rFonts w:ascii="FangSong" w:hAnsi="FangSong" w:eastAsia="FangSong" w:cs="FangSong"/>
          <w:sz w:val="29"/>
          <w:szCs w:val="29"/>
          <w:spacing w:val="16"/>
        </w:rPr>
        <w:t xml:space="preserve"> </w:t>
      </w:r>
      <w:r>
        <w:rPr>
          <w:rFonts w:ascii="FangSong" w:hAnsi="FangSong" w:eastAsia="FangSong" w:cs="FangSong"/>
          <w:sz w:val="29"/>
          <w:szCs w:val="29"/>
          <w:spacing w:val="8"/>
        </w:rPr>
        <w:t>荐“学术特长生”免试硕士研究生申请：</w:t>
      </w:r>
    </w:p>
    <w:p>
      <w:pPr>
        <w:ind w:left="23" w:firstLine="740"/>
        <w:spacing w:before="36" w:line="345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9"/>
        </w:rPr>
        <w:t>(一)学生本科阶段，在核心期刊(人文社会科学以北京大</w:t>
      </w:r>
      <w:r>
        <w:rPr>
          <w:rFonts w:ascii="FangSong" w:hAnsi="FangSong" w:eastAsia="FangSong" w:cs="FangSong"/>
          <w:sz w:val="30"/>
          <w:szCs w:val="30"/>
          <w:spacing w:val="7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6"/>
        </w:rPr>
        <w:t>学图书馆的《中文核心期刊要目总览(最新版)</w:t>
      </w:r>
      <w:r>
        <w:rPr>
          <w:rFonts w:ascii="FangSong" w:hAnsi="FangSong" w:eastAsia="FangSong" w:cs="FangSong"/>
          <w:sz w:val="30"/>
          <w:szCs w:val="30"/>
          <w:spacing w:val="5"/>
        </w:rPr>
        <w:t>》和南京大学中国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10"/>
        </w:rPr>
        <w:t>社会科学研究评价中心的《中文社会科学引</w:t>
      </w:r>
      <w:r>
        <w:rPr>
          <w:rFonts w:ascii="FangSong" w:hAnsi="FangSong" w:eastAsia="FangSong" w:cs="FangSong"/>
          <w:sz w:val="30"/>
          <w:szCs w:val="30"/>
          <w:spacing w:val="-11"/>
        </w:rPr>
        <w:t>文索引(</w:t>
      </w:r>
      <w:r>
        <w:rPr>
          <w:rFonts w:ascii="Times New Roman" w:hAnsi="Times New Roman" w:eastAsia="Times New Roman" w:cs="Times New Roman"/>
          <w:sz w:val="30"/>
          <w:szCs w:val="30"/>
          <w:spacing w:val="-11"/>
        </w:rPr>
        <w:t>CSSCI)</w:t>
      </w:r>
      <w:r>
        <w:rPr>
          <w:rFonts w:ascii="SimSun" w:hAnsi="SimSun" w:eastAsia="SimSun" w:cs="SimSun"/>
          <w:sz w:val="30"/>
          <w:szCs w:val="30"/>
          <w:spacing w:val="-11"/>
        </w:rPr>
        <w:t>》</w:t>
      </w:r>
      <w:r>
        <w:rPr>
          <w:rFonts w:ascii="FangSong" w:hAnsi="FangSong" w:eastAsia="FangSong" w:cs="FangSong"/>
          <w:sz w:val="30"/>
          <w:szCs w:val="30"/>
          <w:spacing w:val="-11"/>
        </w:rPr>
        <w:t>为准)、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z w:val="30"/>
          <w:szCs w:val="30"/>
          <w:spacing w:val="-1"/>
        </w:rPr>
        <w:t>SCI</w:t>
      </w:r>
      <w:r>
        <w:rPr>
          <w:rFonts w:ascii="SimSun" w:hAnsi="SimSun" w:eastAsia="SimSun" w:cs="SimSun"/>
          <w:sz w:val="30"/>
          <w:szCs w:val="30"/>
          <w:spacing w:val="-1"/>
        </w:rPr>
        <w:t>、</w:t>
      </w:r>
      <w:r>
        <w:rPr>
          <w:rFonts w:ascii="Times New Roman" w:hAnsi="Times New Roman" w:eastAsia="Times New Roman" w:cs="Times New Roman"/>
          <w:sz w:val="30"/>
          <w:szCs w:val="30"/>
          <w:spacing w:val="-1"/>
        </w:rPr>
        <w:t>EI</w:t>
      </w:r>
      <w:r>
        <w:rPr>
          <w:rFonts w:ascii="Times New Roman" w:hAnsi="Times New Roman" w:eastAsia="Times New Roman" w:cs="Times New Roman"/>
          <w:sz w:val="30"/>
          <w:szCs w:val="30"/>
          <w:spacing w:val="-45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1"/>
        </w:rPr>
        <w:t>、</w:t>
      </w:r>
      <w:r>
        <w:rPr>
          <w:rFonts w:ascii="Times New Roman" w:hAnsi="Times New Roman" w:eastAsia="Times New Roman" w:cs="Times New Roman"/>
          <w:sz w:val="30"/>
          <w:szCs w:val="30"/>
          <w:spacing w:val="-1"/>
        </w:rPr>
        <w:t>SSCI</w:t>
      </w:r>
      <w:r>
        <w:rPr>
          <w:rFonts w:ascii="FangSong" w:hAnsi="FangSong" w:eastAsia="FangSong" w:cs="FangSong"/>
          <w:sz w:val="30"/>
          <w:szCs w:val="30"/>
          <w:spacing w:val="-1"/>
        </w:rPr>
        <w:t>学术研究期刊上以独立作者或</w:t>
      </w:r>
      <w:r>
        <w:rPr>
          <w:rFonts w:ascii="FangSong" w:hAnsi="FangSong" w:eastAsia="FangSong" w:cs="FangSong"/>
          <w:sz w:val="30"/>
          <w:szCs w:val="30"/>
          <w:spacing w:val="-2"/>
        </w:rPr>
        <w:t>第一作者发表与本专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32"/>
        </w:rPr>
        <w:t>业相关学术论文1篇以上(含1篇)。</w:t>
      </w:r>
    </w:p>
    <w:p>
      <w:pPr>
        <w:spacing w:line="345" w:lineRule="auto"/>
        <w:sectPr>
          <w:footerReference w:type="default" r:id="rId5"/>
          <w:pgSz w:w="12240" w:h="15840"/>
          <w:pgMar w:top="1346" w:right="1699" w:bottom="1116" w:left="1836" w:header="0" w:footer="804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pStyle w:val="BodyText"/>
        <w:spacing w:line="350" w:lineRule="auto"/>
        <w:rPr/>
      </w:pPr>
      <w:r/>
    </w:p>
    <w:p>
      <w:pPr>
        <w:pStyle w:val="BodyText"/>
        <w:spacing w:line="351" w:lineRule="auto"/>
        <w:rPr/>
      </w:pPr>
      <w:r/>
    </w:p>
    <w:p>
      <w:pPr>
        <w:ind w:right="258" w:firstLine="700"/>
        <w:spacing w:before="97" w:line="308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7"/>
        </w:rPr>
        <w:t>(二)作为主力成员参加与学业相关的国内权威科研竞赛(全</w:t>
      </w:r>
      <w:r>
        <w:rPr>
          <w:rFonts w:ascii="FangSong" w:hAnsi="FangSong" w:eastAsia="FangSong" w:cs="FangSong"/>
          <w:sz w:val="30"/>
          <w:szCs w:val="30"/>
          <w:spacing w:val="7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6"/>
        </w:rPr>
        <w:t>国赛)并获得三等奖以上奖励(国际赛事参照执行，但不得低于</w:t>
      </w:r>
      <w:r>
        <w:rPr>
          <w:rFonts w:ascii="FangSong" w:hAnsi="FangSong" w:eastAsia="FangSong" w:cs="FangSong"/>
          <w:sz w:val="30"/>
          <w:szCs w:val="30"/>
          <w:spacing w:val="5"/>
        </w:rPr>
        <w:t xml:space="preserve"> </w:t>
      </w:r>
      <w:r>
        <w:rPr>
          <w:rFonts w:ascii="FangSong" w:hAnsi="FangSong" w:eastAsia="FangSong" w:cs="FangSong"/>
          <w:sz w:val="30"/>
          <w:szCs w:val="30"/>
        </w:rPr>
        <w:t>国内赛事相关要求)。</w:t>
      </w:r>
    </w:p>
    <w:p>
      <w:pPr>
        <w:ind w:left="30" w:right="239" w:firstLine="700"/>
        <w:spacing w:before="200" w:line="29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3"/>
        </w:rPr>
        <w:t>(三)获得与本专业相关的国家发明专利，且学生本人应为</w:t>
      </w:r>
      <w:r>
        <w:rPr>
          <w:rFonts w:ascii="FangSong" w:hAnsi="FangSong" w:eastAsia="FangSong" w:cs="FangSong"/>
          <w:sz w:val="30"/>
          <w:szCs w:val="30"/>
          <w:spacing w:val="5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1"/>
        </w:rPr>
        <w:t>排名前二位的发明人。</w:t>
      </w:r>
    </w:p>
    <w:p>
      <w:pPr>
        <w:ind w:left="30" w:right="224" w:firstLine="609"/>
        <w:spacing w:before="197" w:line="345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学生与直系亲属或学历、职称、职务明显高于本人者合作的</w:t>
      </w:r>
      <w:r>
        <w:rPr>
          <w:rFonts w:ascii="FangSong" w:hAnsi="FangSong" w:eastAsia="FangSong" w:cs="FangSong"/>
          <w:sz w:val="30"/>
          <w:szCs w:val="30"/>
          <w:spacing w:val="18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5"/>
        </w:rPr>
        <w:t>科研成果、竞赛奖项等仅作为参考，不纳入学生本人推免</w:t>
      </w:r>
      <w:r>
        <w:rPr>
          <w:rFonts w:ascii="FangSong" w:hAnsi="FangSong" w:eastAsia="FangSong" w:cs="FangSong"/>
          <w:sz w:val="30"/>
          <w:szCs w:val="30"/>
          <w:spacing w:val="4"/>
        </w:rPr>
        <w:t>遴选综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5"/>
        </w:rPr>
        <w:t>合评价成绩计算体系，同等条件下可优先考虑。对于社会质疑较</w:t>
      </w:r>
      <w:r>
        <w:rPr>
          <w:rFonts w:ascii="FangSong" w:hAnsi="FangSong" w:eastAsia="FangSong" w:cs="FangSong"/>
          <w:sz w:val="30"/>
          <w:szCs w:val="30"/>
          <w:spacing w:val="1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"/>
        </w:rPr>
        <w:t>多的赛事、刊物，各学院要从严把关。</w:t>
      </w:r>
    </w:p>
    <w:p>
      <w:pPr>
        <w:ind w:left="100" w:right="204" w:firstLine="589"/>
        <w:spacing w:before="28" w:line="357" w:lineRule="auto"/>
        <w:jc w:val="both"/>
        <w:rPr>
          <w:rFonts w:ascii="FangSong" w:hAnsi="FangSong" w:eastAsia="FangSong" w:cs="FangSong"/>
          <w:sz w:val="29"/>
          <w:szCs w:val="29"/>
        </w:rPr>
      </w:pPr>
      <w:r>
        <w:rPr>
          <w:rFonts w:ascii="FangSong" w:hAnsi="FangSong" w:eastAsia="FangSong" w:cs="FangSong"/>
          <w:sz w:val="29"/>
          <w:szCs w:val="29"/>
          <w:spacing w:val="14"/>
        </w:rPr>
        <w:t>对于个别在某方面特别出色的学生，如需突破前三年课程平</w:t>
      </w:r>
      <w:r>
        <w:rPr>
          <w:rFonts w:ascii="FangSong" w:hAnsi="FangSong" w:eastAsia="FangSong" w:cs="FangSong"/>
          <w:sz w:val="29"/>
          <w:szCs w:val="29"/>
          <w:spacing w:val="14"/>
        </w:rPr>
        <w:t xml:space="preserve"> </w:t>
      </w:r>
      <w:r>
        <w:rPr>
          <w:rFonts w:ascii="FangSong" w:hAnsi="FangSong" w:eastAsia="FangSong" w:cs="FangSong"/>
          <w:sz w:val="29"/>
          <w:szCs w:val="29"/>
          <w:spacing w:val="27"/>
        </w:rPr>
        <w:t>均成绩名列本专业(类)前50%的要求，应经学校遴选工作领导</w:t>
      </w:r>
      <w:r>
        <w:rPr>
          <w:rFonts w:ascii="FangSong" w:hAnsi="FangSong" w:eastAsia="FangSong" w:cs="FangSong"/>
          <w:sz w:val="29"/>
          <w:szCs w:val="29"/>
          <w:spacing w:val="12"/>
        </w:rPr>
        <w:t xml:space="preserve"> </w:t>
      </w:r>
      <w:r>
        <w:rPr>
          <w:rFonts w:ascii="FangSong" w:hAnsi="FangSong" w:eastAsia="FangSong" w:cs="FangSong"/>
          <w:sz w:val="29"/>
          <w:szCs w:val="29"/>
          <w:spacing w:val="6"/>
        </w:rPr>
        <w:t>小组审定其资格。</w:t>
      </w:r>
    </w:p>
    <w:p>
      <w:pPr>
        <w:ind w:left="740"/>
        <w:spacing w:before="1" w:line="220" w:lineRule="auto"/>
        <w:rPr>
          <w:rFonts w:ascii="SimHei" w:hAnsi="SimHei" w:eastAsia="SimHei" w:cs="SimHei"/>
          <w:sz w:val="28"/>
          <w:szCs w:val="28"/>
        </w:rPr>
      </w:pPr>
      <w:r>
        <w:rPr>
          <w:rFonts w:ascii="SimHei" w:hAnsi="SimHei" w:eastAsia="SimHei" w:cs="SimHei"/>
          <w:sz w:val="28"/>
          <w:szCs w:val="28"/>
          <w:spacing w:val="7"/>
        </w:rPr>
        <w:t>二、“学术特长生”的推荐程序</w:t>
      </w:r>
    </w:p>
    <w:p>
      <w:pPr>
        <w:ind w:left="160" w:right="183" w:firstLine="690"/>
        <w:spacing w:before="223" w:line="324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0"/>
        </w:rPr>
        <w:t>(一)符合上述条件的“学术特长生”可直接向所在学院推</w:t>
      </w:r>
      <w:r>
        <w:rPr>
          <w:rFonts w:ascii="FangSong" w:hAnsi="FangSong" w:eastAsia="FangSong" w:cs="FangSong"/>
          <w:sz w:val="30"/>
          <w:szCs w:val="30"/>
          <w:spacing w:val="18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"/>
        </w:rPr>
        <w:t>免生遴选工作小组提出申请，填写《四川外国</w:t>
      </w:r>
      <w:r>
        <w:rPr>
          <w:rFonts w:ascii="FangSong" w:hAnsi="FangSong" w:eastAsia="FangSong" w:cs="FangSong"/>
          <w:sz w:val="30"/>
          <w:szCs w:val="30"/>
          <w:spacing w:val="1"/>
        </w:rPr>
        <w:t>语大学教授联名推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4"/>
        </w:rPr>
        <w:t>荐“学术特长生”免试攻读硕士学位研究生申请表》,并提供相关</w:t>
      </w:r>
      <w:r>
        <w:rPr>
          <w:rFonts w:ascii="FangSong" w:hAnsi="FangSong" w:eastAsia="FangSong" w:cs="FangSong"/>
          <w:sz w:val="30"/>
          <w:szCs w:val="30"/>
          <w:spacing w:val="18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3"/>
        </w:rPr>
        <w:t>证明材料和3名及3名以上本校本专业教授的联名推荐信。教授</w:t>
      </w:r>
      <w:r>
        <w:rPr>
          <w:rFonts w:ascii="FangSong" w:hAnsi="FangSong" w:eastAsia="FangSong" w:cs="FangSong"/>
          <w:sz w:val="30"/>
          <w:szCs w:val="30"/>
          <w:spacing w:val="3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18"/>
        </w:rPr>
        <w:t>推荐信必须负责、详尽地说明被推荐学生的“特殊学术</w:t>
      </w:r>
      <w:r>
        <w:rPr>
          <w:rFonts w:ascii="FangSong" w:hAnsi="FangSong" w:eastAsia="FangSong" w:cs="FangSong"/>
          <w:sz w:val="30"/>
          <w:szCs w:val="30"/>
          <w:spacing w:val="-19"/>
        </w:rPr>
        <w:t>专长”、“突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3"/>
        </w:rPr>
        <w:t>出培养潜质”。</w:t>
      </w:r>
    </w:p>
    <w:p>
      <w:pPr>
        <w:ind w:left="170" w:right="163" w:firstLine="730"/>
        <w:spacing w:before="198" w:line="311" w:lineRule="auto"/>
        <w:rPr>
          <w:rFonts w:ascii="FangSong" w:hAnsi="FangSong" w:eastAsia="FangSong" w:cs="FangSong"/>
          <w:sz w:val="29"/>
          <w:szCs w:val="29"/>
        </w:rPr>
      </w:pPr>
      <w:r>
        <w:rPr>
          <w:rFonts w:ascii="FangSong" w:hAnsi="FangSong" w:eastAsia="FangSong" w:cs="FangSong"/>
          <w:sz w:val="29"/>
          <w:szCs w:val="29"/>
          <w:spacing w:val="19"/>
        </w:rPr>
        <w:t>(二)学院遴选工作小组根据“学术特长生”有关条件进行</w:t>
      </w:r>
      <w:r>
        <w:rPr>
          <w:rFonts w:ascii="FangSong" w:hAnsi="FangSong" w:eastAsia="FangSong" w:cs="FangSong"/>
          <w:sz w:val="29"/>
          <w:szCs w:val="29"/>
          <w:spacing w:val="5"/>
        </w:rPr>
        <w:t xml:space="preserve"> </w:t>
      </w:r>
      <w:r>
        <w:rPr>
          <w:rFonts w:ascii="FangSong" w:hAnsi="FangSong" w:eastAsia="FangSong" w:cs="FangSong"/>
          <w:sz w:val="29"/>
          <w:szCs w:val="29"/>
          <w:spacing w:val="10"/>
        </w:rPr>
        <w:t>审核，审核通过后须参加学院组织的推免生综合测评和排名，并</w:t>
      </w:r>
      <w:r>
        <w:rPr>
          <w:rFonts w:ascii="FangSong" w:hAnsi="FangSong" w:eastAsia="FangSong" w:cs="FangSong"/>
          <w:sz w:val="29"/>
          <w:szCs w:val="29"/>
          <w:spacing w:val="6"/>
        </w:rPr>
        <w:t xml:space="preserve"> </w:t>
      </w:r>
      <w:r>
        <w:rPr>
          <w:rFonts w:ascii="FangSong" w:hAnsi="FangSong" w:eastAsia="FangSong" w:cs="FangSong"/>
          <w:sz w:val="29"/>
          <w:szCs w:val="29"/>
          <w:spacing w:val="11"/>
        </w:rPr>
        <w:t>确定拟推荐学生名单，在学院进行公示，其中学生提</w:t>
      </w:r>
      <w:r>
        <w:rPr>
          <w:rFonts w:ascii="FangSong" w:hAnsi="FangSong" w:eastAsia="FangSong" w:cs="FangSong"/>
          <w:sz w:val="29"/>
          <w:szCs w:val="29"/>
          <w:spacing w:val="10"/>
        </w:rPr>
        <w:t>供的、可以</w:t>
      </w:r>
    </w:p>
    <w:p>
      <w:pPr>
        <w:spacing w:line="311" w:lineRule="auto"/>
        <w:sectPr>
          <w:footerReference w:type="default" r:id="rId6"/>
          <w:pgSz w:w="12510" w:h="16050"/>
          <w:pgMar w:top="1364" w:right="1876" w:bottom="1217" w:left="1819" w:header="0" w:footer="917" w:gutter="0"/>
        </w:sectPr>
        <w:rPr>
          <w:rFonts w:ascii="FangSong" w:hAnsi="FangSong" w:eastAsia="FangSong" w:cs="FangSong"/>
          <w:sz w:val="29"/>
          <w:szCs w:val="29"/>
        </w:rPr>
      </w:pPr>
    </w:p>
    <w:p>
      <w:pPr>
        <w:pStyle w:val="BodyText"/>
        <w:spacing w:line="461" w:lineRule="auto"/>
        <w:rPr/>
      </w:pPr>
      <w:r/>
    </w:p>
    <w:p>
      <w:pPr>
        <w:ind w:left="143" w:right="29"/>
        <w:spacing w:before="97" w:line="336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1"/>
        </w:rPr>
        <w:t>证明其具有学术特长的所有材料(含教授推荐信)均须进行网上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7"/>
        </w:rPr>
        <w:t>公示。同时，学院将拟推荐学术特长生的《申请表》、证明材料、</w:t>
      </w:r>
      <w:r>
        <w:rPr>
          <w:rFonts w:ascii="FangSong" w:hAnsi="FangSong" w:eastAsia="FangSong" w:cs="FangSong"/>
          <w:sz w:val="30"/>
          <w:szCs w:val="30"/>
          <w:spacing w:val="1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2"/>
        </w:rPr>
        <w:t>推荐信报学校推免生遴选工作领导小组办公室。</w:t>
      </w:r>
    </w:p>
    <w:p>
      <w:pPr>
        <w:ind w:left="143" w:firstLine="720"/>
        <w:spacing w:before="10" w:line="333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9"/>
        </w:rPr>
        <w:t>(三)学校成立专家审核小组，负责对申请推免资格学生的</w:t>
      </w:r>
      <w:r>
        <w:rPr>
          <w:rFonts w:ascii="FangSong" w:hAnsi="FangSong" w:eastAsia="FangSong" w:cs="FangSong"/>
          <w:sz w:val="30"/>
          <w:szCs w:val="30"/>
          <w:spacing w:val="14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"/>
        </w:rPr>
        <w:t>科研创新成果、论文、竞赛获奖奖项及内容进行审核鉴定，确保</w:t>
      </w:r>
      <w:r>
        <w:rPr>
          <w:rFonts w:ascii="FangSong" w:hAnsi="FangSong" w:eastAsia="FangSong" w:cs="FangSong"/>
          <w:sz w:val="30"/>
          <w:szCs w:val="30"/>
          <w:spacing w:val="6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3"/>
        </w:rPr>
        <w:t>材料的真实性和完整性，并组织相关学生在学校一定范围内进行</w:t>
      </w:r>
      <w:r>
        <w:rPr>
          <w:rFonts w:ascii="FangSong" w:hAnsi="FangSong" w:eastAsia="FangSong" w:cs="FangSong"/>
          <w:sz w:val="30"/>
          <w:szCs w:val="30"/>
          <w:spacing w:val="6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"/>
        </w:rPr>
        <w:t>公开答辩。专家审核小组成员由教务处、研究生院、党委学生工</w:t>
      </w:r>
      <w:r>
        <w:rPr>
          <w:rFonts w:ascii="FangSong" w:hAnsi="FangSong" w:eastAsia="FangSong" w:cs="FangSong"/>
          <w:sz w:val="30"/>
          <w:szCs w:val="30"/>
          <w:spacing w:val="3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"/>
        </w:rPr>
        <w:t>作部、团委、科研处等部门分管领导及相关领域权威专家组成，</w:t>
      </w:r>
      <w:r>
        <w:rPr>
          <w:rFonts w:ascii="FangSong" w:hAnsi="FangSong" w:eastAsia="FangSong" w:cs="FangSong"/>
          <w:sz w:val="30"/>
          <w:szCs w:val="30"/>
          <w:spacing w:val="12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7"/>
        </w:rPr>
        <w:t>成员人数为单数，</w:t>
      </w:r>
      <w:r>
        <w:rPr>
          <w:rFonts w:ascii="FangSong" w:hAnsi="FangSong" w:eastAsia="FangSong" w:cs="FangSong"/>
          <w:sz w:val="30"/>
          <w:szCs w:val="30"/>
          <w:spacing w:val="-6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7"/>
        </w:rPr>
        <w:t>一般不少于5人。专家审核</w:t>
      </w:r>
      <w:r>
        <w:rPr>
          <w:rFonts w:ascii="FangSong" w:hAnsi="FangSong" w:eastAsia="FangSong" w:cs="FangSong"/>
          <w:sz w:val="30"/>
          <w:szCs w:val="30"/>
          <w:spacing w:val="6"/>
        </w:rPr>
        <w:t>小组对学生提交的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4"/>
        </w:rPr>
        <w:t>多篇科研成果实行代表作评价，评价重点聚焦到创新质量和个人</w:t>
      </w:r>
      <w:r>
        <w:rPr>
          <w:rFonts w:ascii="FangSong" w:hAnsi="FangSong" w:eastAsia="FangSong" w:cs="FangSong"/>
          <w:sz w:val="30"/>
          <w:szCs w:val="30"/>
          <w:spacing w:val="5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4"/>
        </w:rPr>
        <w:t>贡献。专家审核小组及每位成员都要给出明确审核鉴定意见并签</w:t>
      </w:r>
      <w:r>
        <w:rPr>
          <w:rFonts w:ascii="FangSong" w:hAnsi="FangSong" w:eastAsia="FangSong" w:cs="FangSong"/>
          <w:sz w:val="30"/>
          <w:szCs w:val="30"/>
          <w:spacing w:val="6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4"/>
        </w:rPr>
        <w:t>字存档。答辩全程要录音录像，</w:t>
      </w:r>
      <w:r>
        <w:rPr>
          <w:rFonts w:ascii="FangSong" w:hAnsi="FangSong" w:eastAsia="FangSong" w:cs="FangSong"/>
          <w:sz w:val="30"/>
          <w:szCs w:val="30"/>
          <w:color w:val="505050"/>
          <w:spacing w:val="4"/>
        </w:rPr>
        <w:t>答辩结果要公开公示。</w:t>
      </w:r>
      <w:r>
        <w:rPr>
          <w:rFonts w:ascii="FangSong" w:hAnsi="FangSong" w:eastAsia="FangSong" w:cs="FangSong"/>
          <w:sz w:val="30"/>
          <w:szCs w:val="30"/>
          <w:spacing w:val="4"/>
        </w:rPr>
        <w:t>通过审核</w:t>
      </w:r>
      <w:r>
        <w:rPr>
          <w:rFonts w:ascii="FangSong" w:hAnsi="FangSong" w:eastAsia="FangSong" w:cs="FangSong"/>
          <w:sz w:val="30"/>
          <w:szCs w:val="30"/>
          <w:spacing w:val="5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4"/>
        </w:rPr>
        <w:t>鉴定或答辩的学生特殊学术专长，将予以公示。未通过审核鉴定</w:t>
      </w:r>
      <w:r>
        <w:rPr>
          <w:rFonts w:ascii="FangSong" w:hAnsi="FangSong" w:eastAsia="FangSong" w:cs="FangSong"/>
          <w:sz w:val="30"/>
          <w:szCs w:val="30"/>
          <w:spacing w:val="8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"/>
        </w:rPr>
        <w:t>或答辩的，不得纳入推免遴选综合评价成绩</w:t>
      </w:r>
      <w:r>
        <w:rPr>
          <w:rFonts w:ascii="FangSong" w:hAnsi="FangSong" w:eastAsia="FangSong" w:cs="FangSong"/>
          <w:sz w:val="30"/>
          <w:szCs w:val="30"/>
        </w:rPr>
        <w:t>计算体系。</w:t>
      </w:r>
    </w:p>
    <w:p>
      <w:pPr>
        <w:ind w:left="143" w:right="10" w:firstLine="720"/>
        <w:spacing w:before="248" w:line="285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1"/>
        </w:rPr>
        <w:t>(四)各学院根据本办法制定具体工作细则，报教务处审批</w:t>
      </w:r>
      <w:r>
        <w:rPr>
          <w:rFonts w:ascii="FangSong" w:hAnsi="FangSong" w:eastAsia="FangSong" w:cs="FangSong"/>
          <w:sz w:val="30"/>
          <w:szCs w:val="30"/>
          <w:spacing w:val="11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8"/>
        </w:rPr>
        <w:t>并备案。</w:t>
      </w:r>
    </w:p>
    <w:p>
      <w:pPr>
        <w:ind w:left="143" w:right="9" w:firstLine="720"/>
        <w:spacing w:before="215" w:line="30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1"/>
        </w:rPr>
        <w:t>(五)此办法经校长办公会审定通过后实施，由学校授权教</w:t>
      </w:r>
      <w:r>
        <w:rPr>
          <w:rFonts w:ascii="FangSong" w:hAnsi="FangSong" w:eastAsia="FangSong" w:cs="FangSong"/>
          <w:sz w:val="30"/>
          <w:szCs w:val="30"/>
          <w:spacing w:val="12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-5"/>
        </w:rPr>
        <w:t>务处负责解释。</w:t>
      </w:r>
    </w:p>
    <w:sectPr>
      <w:footerReference w:type="default" r:id="rId7"/>
      <w:pgSz w:w="12240" w:h="15840"/>
      <w:pgMar w:top="1346" w:right="1730" w:bottom="1214" w:left="1836" w:header="0" w:footer="89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"/>
      <w:spacing w:line="231" w:lineRule="auto"/>
      <w:rPr>
        <w:rFonts w:ascii="SimSun" w:hAnsi="SimSun" w:eastAsia="SimSun" w:cs="SimSun"/>
        <w:sz w:val="19"/>
        <w:szCs w:val="19"/>
      </w:rPr>
    </w:pPr>
    <w:r>
      <w:rPr>
        <w:rFonts w:ascii="SimSun" w:hAnsi="SimSun" w:eastAsia="SimSun" w:cs="SimSun"/>
        <w:sz w:val="19"/>
        <w:szCs w:val="19"/>
        <w:spacing w:val="-2"/>
      </w:rPr>
      <w:t>—2—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973"/>
      <w:spacing w:before="1" w:line="231" w:lineRule="auto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spacing w:val="-3"/>
      </w:rPr>
      <w:t>—3—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70"/>
      <w:spacing w:before="1" w:line="232" w:lineRule="auto"/>
      <w:rPr>
        <w:rFonts w:ascii="SimSun" w:hAnsi="SimSun" w:eastAsia="SimSun" w:cs="SimSun"/>
        <w:sz w:val="23"/>
        <w:szCs w:val="23"/>
      </w:rPr>
    </w:pPr>
    <w:r>
      <w:rPr>
        <w:rFonts w:ascii="SimSun" w:hAnsi="SimSun" w:eastAsia="SimSun" w:cs="SimSun"/>
        <w:sz w:val="23"/>
        <w:szCs w:val="23"/>
        <w:spacing w:val="-3"/>
      </w:rPr>
      <w:t>—4—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232" w:lineRule="auto"/>
      <w:jc w:val="right"/>
      <w:rPr>
        <w:rFonts w:ascii="SimSun" w:hAnsi="SimSun" w:eastAsia="SimSun" w:cs="SimSun"/>
        <w:sz w:val="25"/>
        <w:szCs w:val="25"/>
      </w:rPr>
    </w:pPr>
    <w:r>
      <w:rPr>
        <w:rFonts w:ascii="SimSun" w:hAnsi="SimSun" w:eastAsia="SimSun" w:cs="SimSun"/>
        <w:sz w:val="25"/>
        <w:szCs w:val="25"/>
        <w:spacing w:val="-12"/>
      </w:rPr>
      <w:t>—</w:t>
    </w:r>
    <w:r>
      <w:rPr>
        <w:rFonts w:ascii="SimSun" w:hAnsi="SimSun" w:eastAsia="SimSun" w:cs="SimSun"/>
        <w:sz w:val="25"/>
        <w:szCs w:val="25"/>
        <w:spacing w:val="-11"/>
      </w:rPr>
      <w:t>5</w:t>
    </w:r>
    <w:r>
      <w:rPr>
        <w:rFonts w:ascii="SimSun" w:hAnsi="SimSun" w:eastAsia="SimSun" w:cs="SimSun"/>
        <w:sz w:val="25"/>
        <w:szCs w:val="25"/>
        <w:spacing w:val="-7"/>
      </w:rPr>
      <w:t>—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styles" Target="styles.xml"/><Relationship Id="rId8" Type="http://schemas.openxmlformats.org/officeDocument/2006/relationships/settings" Target="settings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image" Target="media/image3.png"/><Relationship Id="rId3" Type="http://schemas.openxmlformats.org/officeDocument/2006/relationships/footer" Target="footer1.xml"/><Relationship Id="rId2" Type="http://schemas.openxmlformats.org/officeDocument/2006/relationships/image" Target="media/image2.png"/><Relationship Id="rId10" Type="http://schemas.openxmlformats.org/officeDocument/2006/relationships/fontTable" Target="fontTable.xml"/><Relationship Id="rId1" Type="http://schemas.openxmlformats.org/officeDocument/2006/relationships/image" Target="media/image1.jpeg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2026-09-11T17:03:21Z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2026-09-11T17:03:21</vt:filetime>
  </property>
  <property fmtid="{D5CDD505-2E9C-101B-9397-08002B2CF9AE}" pid="4" name="UsrData">
    <vt:lpwstr>6aa3c3d793b872002062e591wl</vt:lpwstr>
  </property>
</Properties>
</file>