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line="360" w:lineRule="auto"/>
        <w:ind w:firstLine="482"/>
        <w:jc w:val="both"/>
      </w:pPr>
      <w:r>
        <w:rPr>
          <w:rFonts w:ascii="Times New Roman" w:hAnsi="Times New Roman" w:eastAsia="宋体"/>
          <w:sz w:val="24"/>
        </w:rPr>
        <w:t>数理学院2026届优秀本科毕业生推免工作实施方案-三峡大学数理学院 核能科学与工程学院</w:t>
      </w:r>
    </w:p>
    <w:p>
      <w:pPr>
        <w:spacing w:after="80" w:line="360" w:lineRule="auto"/>
        <w:ind w:firstLine="482"/>
        <w:jc w:val="both"/>
      </w:pPr>
      <w:r>
        <w:rPr>
          <w:rFonts w:ascii="Times New Roman" w:hAnsi="Times New Roman" w:eastAsia="宋体"/>
          <w:sz w:val="24"/>
        </w:rPr>
        <w:t>根据《三峡大学推荐优秀应届本科毕业生免试攻读硕士学位研究生工作管理办法（修订版）》（三峡大教〔2022〕43号）、《三峡大学推荐优秀应届本科毕业生免试攻读硕士学位研究生工作管理办法（修订）三峡大教〔2024〕2号》文件（以下简称《推免管理办法》）精神，教务处《关于开展推荐2026届优秀应届本科毕业生免试攻读硕士学位研究生工作的通知》，结合本院实际情况，制定以下实施方案：</w:t>
      </w:r>
    </w:p>
    <w:p>
      <w:pPr>
        <w:spacing w:before="160" w:after="80" w:line="360" w:lineRule="auto"/>
      </w:pPr>
      <w:r>
        <w:rPr>
          <w:rFonts w:ascii="Times New Roman" w:hAnsi="Times New Roman" w:eastAsia="宋体"/>
          <w:b/>
          <w:sz w:val="28"/>
        </w:rPr>
        <w:t>一、学院成立推免生遴选工作小组，负责组织实施学院推荐工作；成立推免生遴选专家审核小组，负责实施学院推免生相关成果的审核鉴定工作。推免工作由学院教学办牵头组织，采取学生自愿报名，学院推荐的方式。</w:t>
      </w:r>
    </w:p>
    <w:p>
      <w:pPr>
        <w:spacing w:after="80" w:line="360" w:lineRule="auto"/>
        <w:ind w:firstLine="482"/>
        <w:jc w:val="both"/>
      </w:pPr>
      <w:r>
        <w:rPr>
          <w:rFonts w:ascii="Times New Roman" w:hAnsi="Times New Roman" w:eastAsia="宋体"/>
          <w:sz w:val="24"/>
        </w:rPr>
        <w:t>工作领导小组组长：刘勇、袁显宝</w:t>
      </w:r>
    </w:p>
    <w:p>
      <w:pPr>
        <w:spacing w:after="80" w:line="360" w:lineRule="auto"/>
        <w:ind w:firstLine="482"/>
        <w:jc w:val="both"/>
      </w:pPr>
      <w:r>
        <w:rPr>
          <w:rFonts w:ascii="Times New Roman" w:hAnsi="Times New Roman" w:eastAsia="宋体"/>
          <w:sz w:val="24"/>
        </w:rPr>
        <w:t>成员：肖焱山、杨柳、刘丽明、杨雄波、周艳平</w:t>
      </w:r>
    </w:p>
    <w:p>
      <w:pPr>
        <w:spacing w:after="80" w:line="360" w:lineRule="auto"/>
        <w:ind w:firstLine="482"/>
        <w:jc w:val="both"/>
      </w:pPr>
      <w:r>
        <w:rPr>
          <w:rFonts w:ascii="Times New Roman" w:hAnsi="Times New Roman" w:eastAsia="宋体"/>
          <w:sz w:val="24"/>
        </w:rPr>
        <w:t>秘书：刘璇</w:t>
      </w:r>
    </w:p>
    <w:p>
      <w:pPr>
        <w:spacing w:before="160" w:after="80" w:line="360" w:lineRule="auto"/>
      </w:pPr>
      <w:r>
        <w:rPr>
          <w:rFonts w:ascii="Times New Roman" w:hAnsi="Times New Roman" w:eastAsia="宋体"/>
          <w:b/>
          <w:sz w:val="28"/>
        </w:rPr>
        <w:t>二、推荐名额</w:t>
      </w:r>
    </w:p>
    <w:p>
      <w:pPr>
        <w:spacing w:after="80" w:line="360" w:lineRule="auto"/>
        <w:ind w:firstLine="482"/>
        <w:jc w:val="both"/>
      </w:pPr>
      <w:r>
        <w:rPr>
          <w:rFonts w:ascii="Times New Roman" w:hAnsi="Times New Roman" w:eastAsia="宋体"/>
          <w:sz w:val="24"/>
        </w:rPr>
        <w:t>根据学校所分配的推免生名额数及指标分配原则，考虑国家级一流专业建设点、专业认证，结合我院应届本科毕业生人数、学生加权平均成绩等情况，经领导小组讨论确定各专业的推免名额如下：</w:t>
      </w:r>
    </w:p>
    <w:p>
      <w:pPr>
        <w:spacing w:after="80" w:line="360" w:lineRule="auto"/>
        <w:ind w:firstLine="482"/>
        <w:jc w:val="both"/>
      </w:pPr>
      <w:r>
        <w:rPr>
          <w:rFonts w:ascii="Times New Roman" w:hAnsi="Times New Roman" w:eastAsia="宋体"/>
          <w:sz w:val="24"/>
        </w:rPr>
        <w:t>数理学院2025年各专业（方向）推免生指标分配方案</w:t>
      </w:r>
    </w:p>
    <w:p/>
    <w:tbl>
      <w:tblPr>
        <w:tblStyle w:val="TableGrid"/>
        <w:tblW w:type="auto" w:w="0"/>
        <w:jc w:val="center"/>
        <w:tblLook w:firstColumn="1" w:firstRow="1" w:lastColumn="0" w:lastRow="0" w:noHBand="0" w:noVBand="1" w:val="04A0"/>
      </w:tblPr>
      <w:tblGrid>
        <w:gridCol w:w="1727"/>
        <w:gridCol w:w="1727"/>
        <w:gridCol w:w="1727"/>
        <w:gridCol w:w="1727"/>
        <w:gridCol w:w="1727"/>
      </w:tblGrid>
      <w:tr>
        <w:tc>
          <w:tcPr>
            <w:tcW w:type="dxa" w:w="1727"/>
          </w:tcPr>
          <w:p>
            <w:pPr>
              <w:jc w:val="center"/>
            </w:pPr>
            <w:r>
              <w:rPr>
                <w:rFonts w:ascii="Times New Roman" w:hAnsi="Times New Roman" w:eastAsia="宋体"/>
                <w:sz w:val="21"/>
              </w:rPr>
              <w:t>序号</w:t>
            </w:r>
          </w:p>
        </w:tc>
        <w:tc>
          <w:tcPr>
            <w:tcW w:type="dxa" w:w="1727"/>
          </w:tcPr>
          <w:p>
            <w:pPr>
              <w:jc w:val="center"/>
            </w:pPr>
            <w:r>
              <w:rPr>
                <w:rFonts w:ascii="Times New Roman" w:hAnsi="Times New Roman" w:eastAsia="宋体"/>
                <w:sz w:val="21"/>
              </w:rPr>
              <w:t>专业</w:t>
            </w:r>
          </w:p>
        </w:tc>
        <w:tc>
          <w:tcPr>
            <w:tcW w:type="dxa" w:w="1727"/>
          </w:tcPr>
          <w:p>
            <w:pPr>
              <w:jc w:val="center"/>
            </w:pPr>
            <w:r>
              <w:rPr>
                <w:rFonts w:ascii="Times New Roman" w:hAnsi="Times New Roman" w:eastAsia="宋体"/>
                <w:sz w:val="21"/>
              </w:rPr>
              <w:t>学业成绩排名前2%直接推免指标</w:t>
            </w:r>
          </w:p>
        </w:tc>
        <w:tc>
          <w:tcPr>
            <w:tcW w:type="dxa" w:w="1727"/>
          </w:tcPr>
          <w:p>
            <w:pPr>
              <w:jc w:val="center"/>
            </w:pPr>
            <w:r>
              <w:rPr>
                <w:rFonts w:ascii="Times New Roman" w:hAnsi="Times New Roman" w:eastAsia="宋体"/>
                <w:sz w:val="21"/>
              </w:rPr>
              <w:t>综合成绩排名指标</w:t>
            </w:r>
          </w:p>
        </w:tc>
        <w:tc>
          <w:tcPr>
            <w:tcW w:type="dxa" w:w="1727"/>
          </w:tcPr>
          <w:p>
            <w:pPr>
              <w:jc w:val="center"/>
            </w:pPr>
            <w:r>
              <w:rPr>
                <w:rFonts w:ascii="Times New Roman" w:hAnsi="Times New Roman" w:eastAsia="宋体"/>
                <w:sz w:val="21"/>
              </w:rPr>
              <w:t>国防科工招生专项计划</w:t>
            </w:r>
          </w:p>
        </w:tc>
      </w:tr>
      <w:tr>
        <w:tc>
          <w:tcPr>
            <w:tcW w:type="dxa" w:w="1727"/>
          </w:tcPr>
          <w:p>
            <w:pPr>
              <w:jc w:val="center"/>
            </w:pPr>
            <w:r>
              <w:rPr>
                <w:rFonts w:ascii="Times New Roman" w:hAnsi="Times New Roman" w:eastAsia="宋体"/>
                <w:sz w:val="21"/>
              </w:rPr>
              <w:t>总计</w:t>
            </w:r>
          </w:p>
        </w:tc>
        <w:tc>
          <w:tcPr>
            <w:tcW w:type="dxa" w:w="1727"/>
          </w:tcPr>
          <w:p>
            <w:pPr>
              <w:jc w:val="center"/>
            </w:pPr>
            <w:r>
              <w:rPr>
                <w:rFonts w:ascii="Times New Roman" w:hAnsi="Times New Roman" w:eastAsia="宋体"/>
                <w:sz w:val="21"/>
              </w:rPr>
              <w:t>1</w:t>
            </w:r>
          </w:p>
        </w:tc>
        <w:tc>
          <w:tcPr>
            <w:tcW w:type="dxa" w:w="1727"/>
          </w:tcPr>
          <w:p>
            <w:pPr>
              <w:jc w:val="center"/>
            </w:pPr>
            <w:r>
              <w:rPr>
                <w:rFonts w:ascii="Times New Roman" w:hAnsi="Times New Roman" w:eastAsia="宋体"/>
                <w:sz w:val="21"/>
              </w:rPr>
              <w:t>数学与应用数学</w:t>
            </w:r>
          </w:p>
        </w:tc>
        <w:tc>
          <w:tcPr>
            <w:tcW w:type="dxa" w:w="1727"/>
          </w:tcPr>
          <w:p>
            <w:pPr>
              <w:jc w:val="center"/>
            </w:pPr>
            <w:r>
              <w:rPr>
                <w:rFonts w:ascii="Times New Roman" w:hAnsi="Times New Roman" w:eastAsia="宋体"/>
                <w:sz w:val="21"/>
              </w:rPr>
              <w:t>（非师范方向）</w:t>
            </w:r>
          </w:p>
        </w:tc>
        <w:tc>
          <w:tcPr>
            <w:tcW w:type="dxa" w:w="1727"/>
          </w:tcPr>
          <w:p>
            <w:pPr>
              <w:jc w:val="center"/>
            </w:pPr>
            <w:r>
              <w:rPr>
                <w:rFonts w:ascii="Times New Roman" w:hAnsi="Times New Roman" w:eastAsia="宋体"/>
                <w:sz w:val="21"/>
              </w:rPr>
              <w:t>1</w:t>
            </w:r>
          </w:p>
        </w:tc>
      </w:tr>
      <w:tr>
        <w:tc>
          <w:tcPr>
            <w:tcW w:type="dxa" w:w="1727"/>
          </w:tcPr>
          <w:p>
            <w:pPr>
              <w:jc w:val="center"/>
            </w:pPr>
            <w:r>
              <w:rPr>
                <w:rFonts w:ascii="Times New Roman" w:hAnsi="Times New Roman" w:eastAsia="宋体"/>
                <w:sz w:val="21"/>
              </w:rPr>
              <w:t>4</w:t>
            </w:r>
          </w:p>
        </w:tc>
        <w:tc>
          <w:tcPr>
            <w:tcW w:type="dxa" w:w="1727"/>
          </w:tcPr>
          <w:p>
            <w:pPr>
              <w:jc w:val="center"/>
            </w:pPr>
            <w:r>
              <w:rPr>
                <w:rFonts w:ascii="Times New Roman" w:hAnsi="Times New Roman" w:eastAsia="宋体"/>
                <w:sz w:val="21"/>
              </w:rPr>
              <w:t>5</w:t>
            </w:r>
          </w:p>
        </w:tc>
        <w:tc>
          <w:tcPr>
            <w:tcW w:type="dxa" w:w="1727"/>
          </w:tcPr>
          <w:p>
            <w:pPr>
              <w:jc w:val="center"/>
            </w:pPr>
            <w:r>
              <w:rPr>
                <w:rFonts w:ascii="Times New Roman" w:hAnsi="Times New Roman" w:eastAsia="宋体"/>
                <w:sz w:val="21"/>
              </w:rPr>
              <w:t>2</w:t>
            </w:r>
          </w:p>
        </w:tc>
        <w:tc>
          <w:tcPr>
            <w:tcW w:type="dxa" w:w="1727"/>
          </w:tcPr>
          <w:p>
            <w:pPr>
              <w:jc w:val="center"/>
            </w:pPr>
            <w:r>
              <w:rPr>
                <w:rFonts w:ascii="Times New Roman" w:hAnsi="Times New Roman" w:eastAsia="宋体"/>
                <w:sz w:val="21"/>
              </w:rPr>
              <w:t>数学与应用数学</w:t>
            </w:r>
          </w:p>
        </w:tc>
        <w:tc>
          <w:tcPr>
            <w:tcW w:type="dxa" w:w="1727"/>
          </w:tcPr>
          <w:p>
            <w:pPr>
              <w:jc w:val="center"/>
            </w:pPr>
            <w:r>
              <w:rPr>
                <w:rFonts w:ascii="Times New Roman" w:hAnsi="Times New Roman" w:eastAsia="宋体"/>
                <w:sz w:val="21"/>
              </w:rPr>
              <w:t>（师范方向）</w:t>
            </w:r>
          </w:p>
        </w:tc>
      </w:tr>
      <w:tr>
        <w:tc>
          <w:tcPr>
            <w:tcW w:type="dxa" w:w="1727"/>
          </w:tcPr>
          <w:p>
            <w:pPr>
              <w:jc w:val="center"/>
            </w:pPr>
            <w:r>
              <w:rPr>
                <w:rFonts w:ascii="Times New Roman" w:hAnsi="Times New Roman" w:eastAsia="宋体"/>
                <w:sz w:val="21"/>
              </w:rPr>
              <w:t>1</w:t>
            </w:r>
          </w:p>
        </w:tc>
        <w:tc>
          <w:tcPr>
            <w:tcW w:type="dxa" w:w="1727"/>
          </w:tcPr>
          <w:p>
            <w:pPr>
              <w:jc w:val="center"/>
            </w:pPr>
            <w:r>
              <w:rPr>
                <w:rFonts w:ascii="Times New Roman" w:hAnsi="Times New Roman" w:eastAsia="宋体"/>
                <w:sz w:val="21"/>
              </w:rPr>
              <w:t>4</w:t>
            </w:r>
          </w:p>
        </w:tc>
        <w:tc>
          <w:tcPr>
            <w:tcW w:type="dxa" w:w="1727"/>
          </w:tcPr>
          <w:p>
            <w:pPr>
              <w:jc w:val="center"/>
            </w:pPr>
            <w:r>
              <w:rPr>
                <w:rFonts w:ascii="Times New Roman" w:hAnsi="Times New Roman" w:eastAsia="宋体"/>
                <w:sz w:val="21"/>
              </w:rPr>
              <w:t>5</w:t>
            </w:r>
          </w:p>
        </w:tc>
        <w:tc>
          <w:tcPr>
            <w:tcW w:type="dxa" w:w="1727"/>
          </w:tcPr>
          <w:p>
            <w:pPr>
              <w:jc w:val="center"/>
            </w:pPr>
            <w:r>
              <w:rPr>
                <w:rFonts w:ascii="Times New Roman" w:hAnsi="Times New Roman" w:eastAsia="宋体"/>
                <w:sz w:val="21"/>
              </w:rPr>
              <w:t>3</w:t>
            </w:r>
          </w:p>
        </w:tc>
        <w:tc>
          <w:tcPr>
            <w:tcW w:type="dxa" w:w="1727"/>
          </w:tcPr>
          <w:p>
            <w:pPr>
              <w:jc w:val="center"/>
            </w:pPr>
            <w:r>
              <w:rPr>
                <w:rFonts w:ascii="Times New Roman" w:hAnsi="Times New Roman" w:eastAsia="宋体"/>
                <w:sz w:val="21"/>
              </w:rPr>
              <w:t>物理学</w:t>
            </w:r>
          </w:p>
        </w:tc>
      </w:tr>
      <w:tr>
        <w:tc>
          <w:tcPr>
            <w:tcW w:type="dxa" w:w="1727"/>
          </w:tcPr>
          <w:p>
            <w:pPr>
              <w:jc w:val="center"/>
            </w:pPr>
            <w:r>
              <w:rPr>
                <w:rFonts w:ascii="Times New Roman" w:hAnsi="Times New Roman" w:eastAsia="宋体"/>
                <w:sz w:val="21"/>
              </w:rPr>
              <w:t>（非师范方向）</w:t>
            </w:r>
          </w:p>
        </w:tc>
        <w:tc>
          <w:tcPr>
            <w:tcW w:type="dxa" w:w="1727"/>
          </w:tcPr>
          <w:p>
            <w:pPr>
              <w:jc w:val="center"/>
            </w:pPr>
            <w:r>
              <w:rPr>
                <w:rFonts w:ascii="Times New Roman" w:hAnsi="Times New Roman" w:eastAsia="宋体"/>
                <w:sz w:val="21"/>
              </w:rPr>
              <w:t>1</w:t>
            </w:r>
          </w:p>
        </w:tc>
        <w:tc>
          <w:tcPr>
            <w:tcW w:type="dxa" w:w="1727"/>
          </w:tcPr>
          <w:p>
            <w:pPr>
              <w:jc w:val="center"/>
            </w:pPr>
            <w:r>
              <w:rPr>
                <w:rFonts w:ascii="Times New Roman" w:hAnsi="Times New Roman" w:eastAsia="宋体"/>
                <w:sz w:val="21"/>
              </w:rPr>
              <w:t>2</w:t>
            </w:r>
          </w:p>
        </w:tc>
        <w:tc>
          <w:tcPr>
            <w:tcW w:type="dxa" w:w="1727"/>
          </w:tcPr>
          <w:p>
            <w:pPr>
              <w:jc w:val="center"/>
            </w:pPr>
            <w:r>
              <w:rPr>
                <w:rFonts w:ascii="Times New Roman" w:hAnsi="Times New Roman" w:eastAsia="宋体"/>
                <w:sz w:val="21"/>
              </w:rPr>
              <w:t>1</w:t>
            </w:r>
          </w:p>
        </w:tc>
        <w:tc>
          <w:tcPr>
            <w:tcW w:type="dxa" w:w="1727"/>
          </w:tcPr>
          <w:p>
            <w:pPr>
              <w:jc w:val="center"/>
            </w:pPr>
            <w:r>
              <w:rPr>
                <w:rFonts w:ascii="Times New Roman" w:hAnsi="Times New Roman" w:eastAsia="宋体"/>
                <w:sz w:val="21"/>
              </w:rPr>
              <w:t>4</w:t>
            </w:r>
          </w:p>
        </w:tc>
      </w:tr>
      <w:tr>
        <w:tc>
          <w:tcPr>
            <w:tcW w:type="dxa" w:w="1727"/>
          </w:tcPr>
          <w:p>
            <w:pPr>
              <w:jc w:val="center"/>
            </w:pPr>
            <w:r>
              <w:rPr>
                <w:rFonts w:ascii="Times New Roman" w:hAnsi="Times New Roman" w:eastAsia="宋体"/>
                <w:sz w:val="21"/>
              </w:rPr>
              <w:t>4</w:t>
            </w:r>
          </w:p>
        </w:tc>
        <w:tc>
          <w:tcPr>
            <w:tcW w:type="dxa" w:w="1727"/>
          </w:tcPr>
          <w:p>
            <w:pPr>
              <w:jc w:val="center"/>
            </w:pPr>
            <w:r>
              <w:rPr>
                <w:rFonts w:ascii="Times New Roman" w:hAnsi="Times New Roman" w:eastAsia="宋体"/>
                <w:sz w:val="21"/>
              </w:rPr>
              <w:t>物理学</w:t>
            </w:r>
          </w:p>
        </w:tc>
        <w:tc>
          <w:tcPr>
            <w:tcW w:type="dxa" w:w="1727"/>
          </w:tcPr>
          <w:p>
            <w:pPr>
              <w:jc w:val="center"/>
            </w:pPr>
            <w:r>
              <w:rPr>
                <w:rFonts w:ascii="Times New Roman" w:hAnsi="Times New Roman" w:eastAsia="宋体"/>
                <w:sz w:val="21"/>
              </w:rPr>
              <w:t>（师范方向）</w:t>
            </w:r>
          </w:p>
        </w:tc>
        <w:tc>
          <w:tcPr>
            <w:tcW w:type="dxa" w:w="1727"/>
          </w:tcPr>
          <w:p>
            <w:pPr>
              <w:jc w:val="center"/>
            </w:pPr>
            <w:r>
              <w:rPr>
                <w:rFonts w:ascii="Times New Roman" w:hAnsi="Times New Roman" w:eastAsia="宋体"/>
                <w:sz w:val="21"/>
              </w:rPr>
              <w:t>1</w:t>
            </w:r>
          </w:p>
        </w:tc>
        <w:tc>
          <w:tcPr>
            <w:tcW w:type="dxa" w:w="1727"/>
          </w:tcPr>
          <w:p>
            <w:pPr>
              <w:jc w:val="center"/>
            </w:pPr>
            <w:r>
              <w:rPr>
                <w:rFonts w:ascii="Times New Roman" w:hAnsi="Times New Roman" w:eastAsia="宋体"/>
                <w:sz w:val="21"/>
              </w:rPr>
              <w:t>1</w:t>
            </w:r>
          </w:p>
        </w:tc>
      </w:tr>
      <w:tr>
        <w:tc>
          <w:tcPr>
            <w:tcW w:type="dxa" w:w="1727"/>
          </w:tcPr>
          <w:p>
            <w:pPr>
              <w:jc w:val="center"/>
            </w:pPr>
            <w:r>
              <w:rPr>
                <w:rFonts w:ascii="Times New Roman" w:hAnsi="Times New Roman" w:eastAsia="宋体"/>
                <w:sz w:val="21"/>
              </w:rPr>
              <w:t>1</w:t>
            </w:r>
          </w:p>
        </w:tc>
        <w:tc>
          <w:tcPr>
            <w:tcW w:type="dxa" w:w="1727"/>
          </w:tcPr>
          <w:p>
            <w:pPr>
              <w:jc w:val="center"/>
            </w:pPr>
            <w:r>
              <w:rPr>
                <w:rFonts w:ascii="Times New Roman" w:hAnsi="Times New Roman" w:eastAsia="宋体"/>
                <w:sz w:val="21"/>
              </w:rPr>
              <w:t>3</w:t>
            </w:r>
          </w:p>
        </w:tc>
        <w:tc>
          <w:tcPr>
            <w:tcW w:type="dxa" w:w="1727"/>
          </w:tcPr>
          <w:p>
            <w:pPr>
              <w:jc w:val="center"/>
            </w:pPr>
            <w:r>
              <w:rPr>
                <w:rFonts w:ascii="Times New Roman" w:hAnsi="Times New Roman" w:eastAsia="宋体"/>
                <w:sz w:val="21"/>
              </w:rPr>
              <w:t>注：国防科工招生专项计划定向录取到东华理工大学核科学与技术专业。</w:t>
            </w:r>
          </w:p>
        </w:tc>
        <w:tc>
          <w:tcPr>
            <w:tcW w:type="dxa" w:w="1727"/>
          </w:tcPr>
          <w:p>
            <w:pPr>
              <w:jc w:val="center"/>
            </w:pPr>
            <w:r>
              <w:rPr>
                <w:rFonts w:ascii="Times New Roman" w:hAnsi="Times New Roman" w:eastAsia="宋体"/>
                <w:sz w:val="21"/>
              </w:rPr>
            </w:r>
          </w:p>
        </w:tc>
        <w:tc>
          <w:tcPr>
            <w:tcW w:type="dxa" w:w="1727"/>
          </w:tcPr>
          <w:p>
            <w:pPr>
              <w:jc w:val="center"/>
            </w:pPr>
            <w:r>
              <w:rPr>
                <w:rFonts w:ascii="Times New Roman" w:hAnsi="Times New Roman" w:eastAsia="宋体"/>
                <w:sz w:val="21"/>
              </w:rPr>
            </w:r>
          </w:p>
        </w:tc>
      </w:tr>
    </w:tbl>
    <w:p/>
    <w:p>
      <w:pPr>
        <w:spacing w:after="80" w:line="360" w:lineRule="auto"/>
        <w:ind w:firstLine="482"/>
        <w:jc w:val="both"/>
      </w:pPr>
      <w:r>
        <w:rPr>
          <w:rFonts w:ascii="Times New Roman" w:hAnsi="Times New Roman" w:eastAsia="宋体"/>
          <w:sz w:val="24"/>
        </w:rPr>
        <w:t>奖励折算分由学生所获全部奖励项目分值之和折算而成，具体计算办法为：若某专业申请推荐免试学生奖励得分最高者小于或等于8分，该专业学生奖励折算得分为其实际奖励得分；若某专业申请推荐免试学生奖励得分最高者大于8分，则将其折算为8分，该专业其他学生奖励折算得分为：（本人奖励得分/本专业申请推荐免试学生奖励得分最高分）×8。</w:t>
      </w:r>
    </w:p>
    <w:p>
      <w:pPr>
        <w:spacing w:after="80" w:line="360" w:lineRule="auto"/>
        <w:ind w:firstLine="482"/>
        <w:jc w:val="both"/>
      </w:pPr>
      <w:r>
        <w:rPr>
          <w:rFonts w:ascii="Times New Roman" w:hAnsi="Times New Roman" w:eastAsia="宋体"/>
          <w:sz w:val="24"/>
        </w:rPr>
        <w:t>6．学院推免生遴选工作小组对公示期满的候选人进行审核并确定推荐名单，将材料报送教务处。</w:t>
      </w:r>
    </w:p>
    <w:p>
      <w:pPr>
        <w:spacing w:after="80" w:line="360" w:lineRule="auto"/>
        <w:ind w:firstLine="482"/>
        <w:jc w:val="both"/>
      </w:pPr>
      <w:r>
        <w:rPr>
          <w:rFonts w:ascii="Times New Roman" w:hAnsi="Times New Roman" w:eastAsia="宋体"/>
          <w:sz w:val="24"/>
        </w:rPr>
        <w:t>7.根据《三峡大学推荐优秀应届本科毕业生免试攻读硕士学位研究生工作管理办法（修订）三峡大教〔2024〕2号》文件第三章第十二条规定，所修课程（不含素质拓展课程）按学分加权平均成绩(百分制)排名在本专业前2%以内（含2%）的学生，且当年其所在专业有推免指标的，直接获得推免资格。</w:t>
      </w:r>
    </w:p>
    <w:p>
      <w:pPr>
        <w:spacing w:before="160" w:after="80" w:line="360" w:lineRule="auto"/>
      </w:pPr>
      <w:r>
        <w:rPr>
          <w:rFonts w:ascii="Times New Roman" w:hAnsi="Times New Roman" w:eastAsia="宋体"/>
          <w:b/>
          <w:sz w:val="28"/>
        </w:rPr>
        <w:t>四、时间要求</w:t>
      </w:r>
    </w:p>
    <w:p>
      <w:pPr>
        <w:spacing w:after="80" w:line="360" w:lineRule="auto"/>
        <w:ind w:firstLine="482"/>
        <w:jc w:val="both"/>
      </w:pPr>
      <w:r>
        <w:rPr>
          <w:rFonts w:ascii="Times New Roman" w:hAnsi="Times New Roman" w:eastAsia="宋体"/>
          <w:sz w:val="24"/>
        </w:rPr>
        <w:t>1.符合申请条件的学生于9月8日12:00前向学院申请，填写《三峡大学推荐2026届优秀应届本科毕业生免试攻读硕士研究生资格申请表》，并提交有关加分证明材料原件和复印件。</w:t>
      </w:r>
    </w:p>
    <w:p>
      <w:pPr>
        <w:spacing w:after="80" w:line="360" w:lineRule="auto"/>
        <w:ind w:firstLine="482"/>
        <w:jc w:val="both"/>
      </w:pPr>
      <w:r>
        <w:rPr>
          <w:rFonts w:ascii="Times New Roman" w:hAnsi="Times New Roman" w:eastAsia="宋体"/>
          <w:sz w:val="24"/>
        </w:rPr>
        <w:t>2.学院于9月10日前将学生提交的有关加分证明材料分类登记后，将登记表及有关加分证明材料原件、复印件送各有关部门审核，审核部门认定后在登记表上签字、盖章。</w:t>
      </w:r>
    </w:p>
    <w:p>
      <w:pPr>
        <w:spacing w:after="80" w:line="360" w:lineRule="auto"/>
        <w:ind w:firstLine="482"/>
        <w:jc w:val="both"/>
      </w:pPr>
      <w:r>
        <w:rPr>
          <w:rFonts w:ascii="Times New Roman" w:hAnsi="Times New Roman" w:eastAsia="宋体"/>
          <w:sz w:val="24"/>
        </w:rPr>
        <w:t>3.学院推免专家审核小组对申请“特殊学术专长”的学生进行审核鉴定答辩，答辩过程全程录音录像并做好记录。</w:t>
      </w:r>
    </w:p>
    <w:p>
      <w:pPr>
        <w:spacing w:after="80" w:line="360" w:lineRule="auto"/>
        <w:ind w:firstLine="482"/>
        <w:jc w:val="both"/>
      </w:pPr>
      <w:r>
        <w:rPr>
          <w:rFonts w:ascii="Times New Roman" w:hAnsi="Times New Roman" w:eastAsia="宋体"/>
          <w:sz w:val="24"/>
        </w:rPr>
        <w:t>4.学院依据《推免管理办法》规定的公示内容，按各专业推免指标人数的1.2倍确定推免生初选名单，并在9月10日17:00之前进行公示，公示期不少于3日。教务处汇总审核各推荐单位的推免生初选名单，报学校推免生遴选工作领导小组审定后在9月16日17:00前予以公示，公示期不少于4日。对有异议的学生，由推荐单位于2个工作日内查明情况并以书面材料形式报学校推免生遴选工作领导小组处理。</w:t>
      </w:r>
    </w:p>
    <w:p>
      <w:pPr>
        <w:spacing w:after="80" w:line="360" w:lineRule="auto"/>
        <w:ind w:firstLine="482"/>
        <w:jc w:val="both"/>
      </w:pPr>
      <w:r>
        <w:rPr>
          <w:rFonts w:ascii="Times New Roman" w:hAnsi="Times New Roman" w:eastAsia="宋体"/>
          <w:sz w:val="24"/>
        </w:rPr>
        <w:t>5.学院将推免生初选名单上报教务处之前，若有学生放弃推免资格，按专业的综合排名顺序，依次递补。</w:t>
      </w:r>
    </w:p>
    <w:p>
      <w:pPr>
        <w:spacing w:after="80" w:line="360" w:lineRule="auto"/>
        <w:ind w:firstLine="482"/>
        <w:jc w:val="both"/>
      </w:pPr>
      <w:r>
        <w:rPr>
          <w:rFonts w:ascii="Times New Roman" w:hAnsi="Times New Roman" w:eastAsia="宋体"/>
          <w:sz w:val="24"/>
        </w:rPr>
        <w:t>数理学院</w:t>
      </w:r>
    </w:p>
    <w:p>
      <w:pPr>
        <w:spacing w:after="80" w:line="360" w:lineRule="auto"/>
        <w:ind w:firstLine="482"/>
        <w:jc w:val="both"/>
      </w:pPr>
      <w:r>
        <w:rPr>
          <w:rFonts w:ascii="Times New Roman" w:hAnsi="Times New Roman" w:eastAsia="宋体"/>
          <w:sz w:val="24"/>
        </w:rPr>
        <w:t>2025年8月28日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