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机械与动力工程学院2023年推荐优秀应届本科毕业生免试攻读硕士学位研究生办法</w:t>
      </w:r>
    </w:p>
    <w:p>
      <w:pPr>
        <w:spacing w:after="80" w:lineRule="auto" w:line="360"/>
        <w:ind w:firstLine="482"/>
        <w:jc w:val="both"/>
      </w:pPr>
      <w:r>
        <w:rPr>
          <w:rFonts w:ascii="Times New Roman" w:hAnsi="Times New Roman" w:eastAsia="宋体"/>
          <w:b w:val="0"/>
          <w:sz w:val="24"/>
        </w:rPr>
        <w:t>机械与动力工程学院2023年推荐优秀应届本科毕业生免试攻读硕士学位研究生办法</w:t>
      </w:r>
    </w:p>
    <w:p>
      <w:pPr>
        <w:spacing w:after="80" w:lineRule="auto" w:line="360"/>
        <w:ind w:firstLine="482"/>
        <w:jc w:val="both"/>
      </w:pPr>
      <w:r>
        <w:rPr>
          <w:rFonts w:ascii="Times New Roman" w:hAnsi="Times New Roman" w:eastAsia="宋体"/>
          <w:b w:val="0"/>
          <w:sz w:val="24"/>
        </w:rPr>
        <w:t>发布日期（推定）：2025年9月2日</w:t>
      </w:r>
    </w:p>
    <w:p>
      <w:pPr>
        <w:spacing w:after="80" w:lineRule="auto" w:line="360"/>
        <w:ind w:firstLine="482"/>
        <w:jc w:val="both"/>
      </w:pPr>
      <w:r>
        <w:rPr>
          <w:rFonts w:ascii="Times New Roman" w:hAnsi="Times New Roman" w:eastAsia="宋体"/>
          <w:b w:val="0"/>
          <w:sz w:val="24"/>
        </w:rPr>
        <w:t>推荐优秀应届本科毕业生免试攻读研究生（以下简称推免）是研究生多元招生体系的重要组成部分，是加强拔尖创新人才选拔，提高研究生招生质量的重要举措，也是促进和激励在校本科生勤奋学习、全面发展的有效机制。2023年推免工作要坚持以习近平新时代中国特色社会主义思想为指导，全面贯彻落实全国研究生教育大会精神，紧紧围绕立德树人根本任务，牢固树立质量意识，积极服务国家发展需求。按照《2023年全国硕士研究生招生工作管理规定》《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关于做好2023年推荐优秀应届本科毕业生免试攻读硕士学位研究生工作的通知》等相关文件要求，经研究决定，特制订本办法。</w:t>
      </w:r>
    </w:p>
    <w:p>
      <w:pPr>
        <w:spacing w:before="160" w:after="80" w:lineRule="auto" w:line="360"/>
        <w:jc w:val="left"/>
      </w:pPr>
      <w:r>
        <w:rPr>
          <w:rFonts w:ascii="Times New Roman" w:hAnsi="Times New Roman" w:eastAsia="宋体"/>
          <w:b/>
          <w:sz w:val="28"/>
        </w:rPr>
        <w:t>一、推荐免试条件</w:t>
      </w:r>
    </w:p>
    <w:p>
      <w:pPr>
        <w:spacing w:after="80" w:lineRule="auto" w:line="360"/>
        <w:ind w:firstLine="482"/>
        <w:jc w:val="both"/>
      </w:pPr>
      <w:r>
        <w:rPr>
          <w:rFonts w:ascii="Times New Roman" w:hAnsi="Times New Roman" w:eastAsia="宋体"/>
          <w:b w:val="0"/>
          <w:sz w:val="24"/>
        </w:rPr>
        <w:t>被推荐人应当同时具备以下基本条件：</w:t>
      </w:r>
    </w:p>
    <w:p>
      <w:pPr>
        <w:spacing w:after="80" w:lineRule="auto" w:line="360"/>
        <w:ind w:firstLine="482"/>
        <w:jc w:val="both"/>
      </w:pPr>
      <w:r>
        <w:rPr>
          <w:rFonts w:ascii="Times New Roman" w:hAnsi="Times New Roman" w:eastAsia="宋体"/>
          <w:b w:val="0"/>
          <w:sz w:val="24"/>
        </w:rPr>
        <w:t>1. 纳入国家普通本科招生计划录取（含校内转专业学生；不含专升本、专转本、第二学士学位、独立学院学生）的我校应届毕业生（以下简称学生）；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拥护中国共产党的领导，具有高尚的爱国主义情操和集体主义精神，社会主义信念坚定，社会责任感强，遵纪守法，积极上进；</w:t>
      </w:r>
    </w:p>
    <w:p>
      <w:pPr>
        <w:spacing w:after="80" w:lineRule="auto" w:line="360"/>
        <w:ind w:firstLine="482"/>
        <w:jc w:val="both"/>
      </w:pPr>
      <w:r>
        <w:rPr>
          <w:rFonts w:ascii="Times New Roman" w:hAnsi="Times New Roman" w:eastAsia="宋体"/>
          <w:b w:val="0"/>
          <w:sz w:val="24"/>
        </w:rPr>
        <w:t>3. 无任何考试作弊、剽窃他人学术成果以及违法违纪受处分记录；</w:t>
      </w:r>
    </w:p>
    <w:p>
      <w:pPr>
        <w:spacing w:after="80" w:lineRule="auto" w:line="360"/>
        <w:ind w:firstLine="482"/>
        <w:jc w:val="both"/>
      </w:pPr>
      <w:r>
        <w:rPr>
          <w:rFonts w:ascii="Times New Roman" w:hAnsi="Times New Roman" w:eastAsia="宋体"/>
          <w:b w:val="0"/>
          <w:sz w:val="24"/>
        </w:rPr>
        <w:t>4. 学习成绩优秀，专业排名名列前茅。具体办法按照全年级专业总排名计算，即：前三年（五年制前四年）必修课程累计平均学分绩点（以下称课程平均绩点）“专业排名”前35%以内；</w:t>
      </w:r>
    </w:p>
    <w:p>
      <w:pPr>
        <w:spacing w:after="80" w:lineRule="auto" w:line="360"/>
        <w:ind w:firstLine="482"/>
        <w:jc w:val="both"/>
      </w:pPr>
      <w:r>
        <w:rPr>
          <w:rFonts w:ascii="Times New Roman" w:hAnsi="Times New Roman" w:eastAsia="宋体"/>
          <w:b w:val="0"/>
          <w:sz w:val="24"/>
        </w:rPr>
        <w:t>5. 英语CET-4达到425分以上（含425分）；</w:t>
      </w:r>
    </w:p>
    <w:p>
      <w:pPr>
        <w:spacing w:after="80" w:lineRule="auto" w:line="360"/>
        <w:ind w:firstLine="482"/>
        <w:jc w:val="both"/>
      </w:pPr>
      <w:r>
        <w:rPr>
          <w:rFonts w:ascii="Times New Roman" w:hAnsi="Times New Roman" w:eastAsia="宋体"/>
          <w:b w:val="0"/>
          <w:sz w:val="24"/>
        </w:rPr>
        <w:t>6. 身心健康，达到研究生入学健康标准。</w:t>
      </w:r>
    </w:p>
    <w:p>
      <w:pPr>
        <w:spacing w:before="160" w:after="80" w:lineRule="auto" w:line="360"/>
        <w:jc w:val="left"/>
      </w:pPr>
      <w:r>
        <w:rPr>
          <w:rFonts w:ascii="Times New Roman" w:hAnsi="Times New Roman" w:eastAsia="宋体"/>
          <w:b/>
          <w:sz w:val="28"/>
        </w:rPr>
        <w:t>二、推免总成绩构成</w:t>
      </w:r>
    </w:p>
    <w:p>
      <w:pPr>
        <w:spacing w:after="80" w:lineRule="auto" w:line="360"/>
        <w:ind w:firstLine="482"/>
        <w:jc w:val="both"/>
      </w:pPr>
      <w:r>
        <w:rPr>
          <w:rFonts w:ascii="Times New Roman" w:hAnsi="Times New Roman" w:eastAsia="宋体"/>
          <w:b w:val="0"/>
          <w:sz w:val="24"/>
        </w:rPr>
        <w:t>确定推免生选择次序的排序总成绩是由学业综合成绩与全面发展综合成绩两部分构成，即“总成绩=学业综合成绩*80%+全面发展综合成绩”。其中总成绩满分为100分，学业综合成绩满分为100分，全面发展综合成绩满分为20分。</w:t>
      </w:r>
    </w:p>
    <w:p>
      <w:pPr>
        <w:spacing w:before="160" w:after="80" w:lineRule="auto" w:line="360"/>
        <w:jc w:val="left"/>
      </w:pPr>
      <w:r>
        <w:rPr>
          <w:rFonts w:ascii="Times New Roman" w:hAnsi="Times New Roman" w:eastAsia="宋体"/>
          <w:b/>
          <w:sz w:val="28"/>
        </w:rPr>
        <w:t>三、学业综合成绩计算方法</w:t>
      </w:r>
    </w:p>
    <w:p>
      <w:pPr>
        <w:spacing w:after="80" w:lineRule="auto" w:line="360"/>
        <w:ind w:firstLine="482"/>
        <w:jc w:val="both"/>
      </w:pPr>
      <w:r>
        <w:rPr>
          <w:rFonts w:ascii="Times New Roman" w:hAnsi="Times New Roman" w:eastAsia="宋体"/>
          <w:b w:val="0"/>
          <w:sz w:val="24"/>
        </w:rPr>
        <w:t>学业综合成绩=必修课平均成绩=（必修课程1的成绩*必修课程1的学分+必修课程2的成绩*必修课程2的学分+…+必修课程m的成绩*必修课程m的学分）/必修课总学分</w:t>
      </w:r>
    </w:p>
    <w:p>
      <w:pPr>
        <w:spacing w:before="160" w:after="80" w:lineRule="auto" w:line="360"/>
        <w:jc w:val="left"/>
      </w:pPr>
      <w:r>
        <w:rPr>
          <w:rFonts w:ascii="Times New Roman" w:hAnsi="Times New Roman" w:eastAsia="宋体"/>
          <w:b/>
          <w:sz w:val="28"/>
        </w:rPr>
        <w:t>四、全面发展综合成绩计分细则</w:t>
      </w:r>
    </w:p>
    <w:p>
      <w:pPr>
        <w:spacing w:after="80" w:lineRule="auto" w:line="360"/>
        <w:ind w:firstLine="482"/>
        <w:jc w:val="both"/>
      </w:pPr>
      <w:r>
        <w:rPr>
          <w:rFonts w:ascii="Times New Roman" w:hAnsi="Times New Roman" w:eastAsia="宋体"/>
          <w:b w:val="0"/>
          <w:sz w:val="24"/>
        </w:rPr>
        <w:t>全面发展综合成绩计分由学生参军入伍服兵役、参加志愿服务、到国际组织实习、本科阶段科研成果、本科阶段竞赛获奖五部分组成。</w:t>
      </w:r>
    </w:p>
    <w:p>
      <w:pPr>
        <w:spacing w:after="80" w:lineRule="auto" w:line="360"/>
        <w:ind w:firstLine="482"/>
        <w:jc w:val="both"/>
      </w:pPr>
      <w:r>
        <w:rPr>
          <w:rFonts w:ascii="Times New Roman" w:hAnsi="Times New Roman" w:eastAsia="宋体"/>
          <w:b w:val="0"/>
          <w:sz w:val="24"/>
        </w:rPr>
        <w:t>1. 学生参军入伍服兵役部分成绩占全面发展综合成绩的20%，最高可加4分。其中对于具有服兵役经历的应届毕业生可加1分，在部队荣立二等功及以上的应届毕业生可加4分。</w:t>
      </w:r>
    </w:p>
    <w:p>
      <w:pPr>
        <w:spacing w:after="80" w:lineRule="auto" w:line="360"/>
        <w:ind w:firstLine="482"/>
        <w:jc w:val="both"/>
      </w:pPr>
      <w:r>
        <w:rPr>
          <w:rFonts w:ascii="Times New Roman" w:hAnsi="Times New Roman" w:eastAsia="宋体"/>
          <w:b w:val="0"/>
          <w:sz w:val="24"/>
        </w:rPr>
        <w:t>2. 参加志愿服务部分成绩占全面发展综合成绩的10%，最高可加2分。其中获校级志愿服务先进个人表彰的应届毕业生可加0.5分，获省级志愿服务先进个人表彰的应届毕业生可加1分，获国家级志愿服务先进个人表彰的应届毕业生可加2分。</w:t>
      </w:r>
    </w:p>
    <w:p>
      <w:pPr>
        <w:spacing w:after="80" w:lineRule="auto" w:line="360"/>
        <w:ind w:firstLine="482"/>
        <w:jc w:val="both"/>
      </w:pPr>
      <w:r>
        <w:rPr>
          <w:rFonts w:ascii="Times New Roman" w:hAnsi="Times New Roman" w:eastAsia="宋体"/>
          <w:b w:val="0"/>
          <w:sz w:val="24"/>
        </w:rPr>
        <w:t>3. 到国际组织实习部分成绩占全面发展综合成绩的10%，最高可加2分。其中到联合国相关组织实习的应届毕业生可加2分，到其他国际组织实习的应届毕业生可加1分。</w:t>
      </w:r>
    </w:p>
    <w:p>
      <w:pPr>
        <w:spacing w:after="80" w:lineRule="auto" w:line="360"/>
        <w:ind w:firstLine="482"/>
        <w:jc w:val="both"/>
      </w:pPr>
      <w:r>
        <w:rPr>
          <w:rFonts w:ascii="Times New Roman" w:hAnsi="Times New Roman" w:eastAsia="宋体"/>
          <w:b w:val="0"/>
          <w:sz w:val="24"/>
        </w:rPr>
        <w:t>4. 本科阶段科研成果部分成绩占全面发展综合成绩的30%，最高可加6分。</w:t>
      </w:r>
    </w:p>
    <w:p>
      <w:pPr>
        <w:spacing w:after="80" w:lineRule="auto" w:line="360"/>
        <w:ind w:firstLine="482"/>
        <w:jc w:val="both"/>
      </w:pPr>
      <w:r>
        <w:rPr>
          <w:rFonts w:ascii="Times New Roman" w:hAnsi="Times New Roman" w:eastAsia="宋体"/>
          <w:b w:val="0"/>
          <w:sz w:val="24"/>
        </w:rPr>
        <w:t>（1）本科阶段科研成果仅限学生本科阶段在核心期刊、EI、SCI上以独立作者或第一作者发表的与专业相关的科研论文、发明专利。</w:t>
      </w:r>
    </w:p>
    <w:p>
      <w:pPr>
        <w:spacing w:after="80" w:lineRule="auto" w:line="360"/>
        <w:ind w:firstLine="482"/>
        <w:jc w:val="both"/>
      </w:pPr>
      <w:r>
        <w:rPr>
          <w:rFonts w:ascii="Times New Roman" w:hAnsi="Times New Roman" w:eastAsia="宋体"/>
          <w:b w:val="0"/>
          <w:sz w:val="24"/>
        </w:rPr>
        <w:t>（2）学生本科阶段在北大中文核心期刊上以独立作者或第一作者发表的与专业相关的科研论文一篇可加2分；学生本科阶段在EI期刊上以独立作者或第一作者发表的与专业相关的科研论文一篇可加3分；学生本科阶段在SCI期刊上以独立作者或第一作者发表的与专业相关的科研论文一篇可加6分；学生本科阶段以独立发明人或第一发明人授权的与专业相关的发明专利一件可加4分。</w:t>
      </w:r>
    </w:p>
    <w:p>
      <w:pPr>
        <w:spacing w:after="80" w:lineRule="auto" w:line="360"/>
        <w:ind w:firstLine="482"/>
        <w:jc w:val="both"/>
      </w:pPr>
      <w:r>
        <w:rPr>
          <w:rFonts w:ascii="Times New Roman" w:hAnsi="Times New Roman" w:eastAsia="宋体"/>
          <w:b w:val="0"/>
          <w:sz w:val="24"/>
        </w:rPr>
        <w:t>（3）同一篇论文的计分按照发表期刊的最高类别计分，不累积计分。</w:t>
      </w:r>
    </w:p>
    <w:p>
      <w:pPr>
        <w:spacing w:after="80" w:lineRule="auto" w:line="360"/>
        <w:ind w:firstLine="482"/>
        <w:jc w:val="both"/>
      </w:pPr>
      <w:r>
        <w:rPr>
          <w:rFonts w:ascii="Times New Roman" w:hAnsi="Times New Roman" w:eastAsia="宋体"/>
          <w:b w:val="0"/>
          <w:sz w:val="24"/>
        </w:rPr>
        <w:t>5. 本科阶段竞赛获奖部分成绩占全面发展综合成绩的30%，最高可加6分，具体加分如下：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获奖等级及种类</w:t>
            </w:r>
          </w:p>
        </w:tc>
        <w:tc>
          <w:tcPr>
            <w:tcW w:type="dxa" w:w="1727"/>
          </w:tcPr>
          <w:p>
            <w:pPr>
              <w:spacing w:after="20" w:before="20"/>
            </w:pPr>
            <w:r/>
            <w:r>
              <w:rPr>
                <w:rFonts w:ascii="Times New Roman" w:hAnsi="Times New Roman" w:eastAsia="宋体"/>
                <w:b/>
                <w:sz w:val="21"/>
              </w:rPr>
              <w:t>国家级A类</w:t>
            </w:r>
          </w:p>
        </w:tc>
        <w:tc>
          <w:tcPr>
            <w:tcW w:type="dxa" w:w="1727"/>
          </w:tcPr>
          <w:p>
            <w:pPr>
              <w:spacing w:after="20" w:before="20"/>
            </w:pPr>
            <w:r/>
            <w:r>
              <w:rPr>
                <w:rFonts w:ascii="Times New Roman" w:hAnsi="Times New Roman" w:eastAsia="宋体"/>
                <w:b/>
                <w:sz w:val="21"/>
              </w:rPr>
              <w:t>国家级B类</w:t>
            </w:r>
          </w:p>
        </w:tc>
        <w:tc>
          <w:tcPr>
            <w:tcW w:type="dxa" w:w="1727"/>
          </w:tcPr>
          <w:p>
            <w:pPr>
              <w:spacing w:after="20" w:before="20"/>
            </w:pPr>
            <w:r/>
            <w:r>
              <w:rPr>
                <w:rFonts w:ascii="Times New Roman" w:hAnsi="Times New Roman" w:eastAsia="宋体"/>
                <w:b/>
                <w:sz w:val="21"/>
              </w:rPr>
              <w:t>省级A类</w:t>
            </w:r>
          </w:p>
        </w:tc>
        <w:tc>
          <w:tcPr>
            <w:tcW w:type="dxa" w:w="1727"/>
          </w:tcPr>
          <w:p>
            <w:pPr>
              <w:spacing w:after="20" w:before="20"/>
            </w:pPr>
            <w:r/>
            <w:r>
              <w:rPr>
                <w:rFonts w:ascii="Times New Roman" w:hAnsi="Times New Roman" w:eastAsia="宋体"/>
                <w:b/>
                <w:sz w:val="21"/>
              </w:rPr>
              <w:t>省级B类</w:t>
            </w:r>
          </w:p>
        </w:tc>
      </w:tr>
      <w:tr>
        <w:tc>
          <w:tcPr>
            <w:tcW w:type="dxa" w:w="1727"/>
          </w:tcPr>
          <w:p>
            <w:pPr>
              <w:spacing w:after="20" w:before="20"/>
            </w:pPr>
            <w:r/>
            <w:r>
              <w:rPr>
                <w:rFonts w:ascii="Times New Roman" w:hAnsi="Times New Roman" w:eastAsia="宋体"/>
                <w:b w:val="0"/>
                <w:sz w:val="21"/>
              </w:rPr>
              <w:t>最高奖次</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3</w:t>
            </w:r>
          </w:p>
        </w:tc>
      </w:tr>
      <w:tr>
        <w:tc>
          <w:tcPr>
            <w:tcW w:type="dxa" w:w="1727"/>
          </w:tcPr>
          <w:p>
            <w:pPr>
              <w:spacing w:after="20" w:before="20"/>
            </w:pPr>
            <w:r/>
            <w:r>
              <w:rPr>
                <w:rFonts w:ascii="Times New Roman" w:hAnsi="Times New Roman" w:eastAsia="宋体"/>
                <w:b w:val="0"/>
                <w:sz w:val="21"/>
              </w:rPr>
              <w:t>次一奖次</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次二奖次</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1</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