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天津师范大学地理学部2026年优秀应届本科毕业生免试攻读研究生工作方案</w:t>
      </w:r>
    </w:p>
    <w:p>
      <w:pPr>
        <w:spacing w:after="80" w:lineRule="auto" w:line="360"/>
        <w:ind w:firstLine="482"/>
        <w:jc w:val="both"/>
      </w:pPr>
      <w:r>
        <w:rPr>
          <w:rFonts w:ascii="Times New Roman" w:hAnsi="Times New Roman" w:eastAsia="宋体"/>
          <w:b w:val="0"/>
          <w:sz w:val="24"/>
        </w:rPr>
        <w:t>本段内容为天津师范大学地理学部2026年优秀应届本科毕业生免试攻读研究生工作方案的页面导航与栏目信息，未包含申请条件、报名时间、活动时间、接收条件、流程、材料清单、时间节点、名额或联系方式等具体通知内容。</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一、页面栏目信息</w:t>
      </w:r>
    </w:p>
    <w:p>
      <w:pPr>
        <w:spacing w:after="80" w:lineRule="auto" w:line="360"/>
        <w:ind w:firstLine="482"/>
        <w:jc w:val="both"/>
      </w:pPr>
      <w:r>
        <w:rPr>
          <w:rFonts w:ascii="Times New Roman" w:hAnsi="Times New Roman" w:eastAsia="宋体"/>
          <w:b w:val="0"/>
          <w:sz w:val="24"/>
        </w:rPr>
        <w:t>1. 学部概况：学部简介、机构设置</w:t>
      </w:r>
    </w:p>
    <w:p>
      <w:pPr>
        <w:spacing w:after="80" w:lineRule="auto" w:line="360"/>
        <w:ind w:firstLine="482"/>
        <w:jc w:val="both"/>
      </w:pPr>
      <w:r>
        <w:rPr>
          <w:rFonts w:ascii="Times New Roman" w:hAnsi="Times New Roman" w:eastAsia="宋体"/>
          <w:b w:val="0"/>
          <w:sz w:val="24"/>
        </w:rPr>
        <w:t>2. 教育教学：研究生教育、本科生教育、实验室、柳江实习平台</w:t>
      </w:r>
    </w:p>
    <w:p>
      <w:pPr>
        <w:spacing w:after="80" w:lineRule="auto" w:line="360"/>
        <w:ind w:firstLine="482"/>
        <w:jc w:val="both"/>
      </w:pPr>
      <w:r>
        <w:rPr>
          <w:rFonts w:ascii="Times New Roman" w:hAnsi="Times New Roman" w:eastAsia="宋体"/>
          <w:b w:val="0"/>
          <w:sz w:val="24"/>
        </w:rPr>
        <w:t>3. 党建园地：学习进行时、主题教育、工作动态、纪委工作</w:t>
      </w:r>
    </w:p>
    <w:p>
      <w:pPr>
        <w:spacing w:after="80" w:lineRule="auto" w:line="360"/>
        <w:ind w:firstLine="482"/>
        <w:jc w:val="both"/>
      </w:pPr>
      <w:r>
        <w:rPr>
          <w:rFonts w:ascii="Times New Roman" w:hAnsi="Times New Roman" w:eastAsia="宋体"/>
          <w:b w:val="0"/>
          <w:sz w:val="24"/>
        </w:rPr>
        <w:t>4. 研究机构：科研成果、学科平台</w:t>
      </w:r>
    </w:p>
    <w:p>
      <w:pPr>
        <w:spacing w:after="80" w:lineRule="auto" w:line="360"/>
        <w:ind w:firstLine="482"/>
        <w:jc w:val="both"/>
      </w:pPr>
      <w:r>
        <w:rPr>
          <w:rFonts w:ascii="Times New Roman" w:hAnsi="Times New Roman" w:eastAsia="宋体"/>
          <w:b w:val="0"/>
          <w:sz w:val="24"/>
        </w:rPr>
        <w:t>5. 招生工作</w:t>
      </w:r>
    </w:p>
    <w:p>
      <w:pPr>
        <w:spacing w:after="80" w:lineRule="auto" w:line="360"/>
        <w:ind w:firstLine="482"/>
        <w:jc w:val="both"/>
      </w:pPr>
      <w:r>
        <w:rPr>
          <w:rFonts w:ascii="Times New Roman" w:hAnsi="Times New Roman" w:eastAsia="宋体"/>
          <w:b w:val="0"/>
          <w:sz w:val="24"/>
        </w:rPr>
        <w:t>6. 学生活动：学生党建、校园文化</w:t>
      </w:r>
    </w:p>
    <w:p>
      <w:pPr>
        <w:spacing w:after="80" w:lineRule="auto" w:line="360"/>
        <w:ind w:firstLine="482"/>
        <w:jc w:val="both"/>
      </w:pPr>
      <w:r>
        <w:rPr>
          <w:rFonts w:ascii="Times New Roman" w:hAnsi="Times New Roman" w:eastAsia="宋体"/>
          <w:b w:val="0"/>
          <w:sz w:val="24"/>
        </w:rPr>
        <w:t>7. 实验室安全：法规政策、学校管理制度、学院管理制度、安全检查及教育</w:t>
      </w:r>
    </w:p>
    <w:p>
      <w:pPr>
        <w:spacing w:after="80" w:lineRule="auto" w:line="360"/>
        <w:ind w:firstLine="482"/>
        <w:jc w:val="both"/>
      </w:pPr>
      <w:r>
        <w:rPr>
          <w:rFonts w:ascii="Times New Roman" w:hAnsi="Times New Roman" w:eastAsia="宋体"/>
          <w:b w:val="0"/>
          <w:sz w:val="24"/>
        </w:rPr>
        <w:t>8. 校友专栏：校友工作动态、毕业合影、校友名册、优秀毕业生</w:t>
      </w:r>
    </w:p>
    <w:p>
      <w:pPr>
        <w:spacing w:after="80" w:lineRule="auto" w:line="360"/>
        <w:ind w:firstLine="482"/>
        <w:jc w:val="both"/>
      </w:pPr>
      <w:r>
        <w:rPr>
          <w:rFonts w:ascii="Times New Roman" w:hAnsi="Times New Roman" w:eastAsia="宋体"/>
          <w:b w:val="0"/>
          <w:sz w:val="24"/>
        </w:rPr>
        <w:t>9. 公告栏</w:t>
      </w:r>
    </w:p>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上述内容为页面导航与栏目列表，未提供工作方案正文中的具体申请条件、报名时间、活动时间、接收条件、流程、材料清单、时间节点、名额及联系方式等信息。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