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大连理工大学商学院2026年推荐优秀应届本科毕业生免试攻读研究生工作实施细则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大连理工大学商学院2026年推荐优秀应届本科毕业生免试攻读研究生工作实施细则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发布日期（推定）：2025年9月9日</w:t>
      </w:r>
    </w:p>
    <w:p>
      <w:pPr>
        <w:spacing w:after="80" w:lineRule="auto" w:line="360"/>
        <w:ind w:firstLine="482"/>
        <w:jc w:val="both"/>
      </w:pPr>
      <w:r>
        <w:rPr>
          <w:rFonts w:ascii="Times New Roman" w:hAnsi="Times New Roman" w:eastAsia="宋体"/>
          <w:b w:val="0"/>
          <w:sz w:val="24"/>
        </w:rPr>
        <w:t>为加强和规范大连理工大学商学院推荐优秀应届本科毕业生免试攻读研究生（以下简称推免）工作，根据《大连理工大学2026年推荐优秀应届本科毕业生免试攻读研究生工作实施办法》的文件规定，结合学院实际情况，特制定本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为保证推免工作的顺利开展，商学院成立推免工作遴选小组和推免监督小组。具体人员名单如下：</w:t>
      </w:r>
    </w:p>
    <w:p>
      <w:pPr>
        <w:spacing w:after="80" w:lineRule="auto" w:line="360"/>
        <w:ind w:firstLine="482"/>
        <w:jc w:val="both"/>
      </w:pPr>
      <w:r>
        <w:rPr>
          <w:rFonts w:ascii="Times New Roman" w:hAnsi="Times New Roman" w:eastAsia="宋体"/>
          <w:b w:val="0"/>
          <w:sz w:val="24"/>
        </w:rPr>
        <w:t>推免工作遴选小组名单（同一组内按姓氏笔画排序）</w:t>
      </w:r>
    </w:p>
    <w:p>
      <w:pPr>
        <w:spacing w:after="80" w:lineRule="auto" w:line="360"/>
        <w:ind w:firstLine="482"/>
        <w:jc w:val="both"/>
      </w:pPr>
      <w:r>
        <w:rPr>
          <w:rFonts w:ascii="Times New Roman" w:hAnsi="Times New Roman" w:eastAsia="宋体"/>
          <w:b w:val="0"/>
          <w:sz w:val="24"/>
        </w:rPr>
        <w:t>组长：洪勇</w:t>
      </w:r>
    </w:p>
    <w:p>
      <w:pPr>
        <w:spacing w:after="80" w:lineRule="auto" w:line="360"/>
        <w:ind w:firstLine="482"/>
        <w:jc w:val="both"/>
      </w:pPr>
      <w:r>
        <w:rPr>
          <w:rFonts w:ascii="Times New Roman" w:hAnsi="Times New Roman" w:eastAsia="宋体"/>
          <w:b w:val="0"/>
          <w:sz w:val="24"/>
        </w:rPr>
        <w:t>副组长：石丹</w:t>
      </w:r>
    </w:p>
    <w:p>
      <w:pPr>
        <w:spacing w:after="80" w:lineRule="auto" w:line="360"/>
        <w:ind w:firstLine="482"/>
        <w:jc w:val="both"/>
      </w:pPr>
      <w:r>
        <w:rPr>
          <w:rFonts w:ascii="Times New Roman" w:hAnsi="Times New Roman" w:eastAsia="宋体"/>
          <w:b w:val="0"/>
          <w:sz w:val="24"/>
        </w:rPr>
        <w:t>组员：王昱、乔帅、李彤、刘琳琳、李鹏升、张倩、崔丽</w:t>
      </w:r>
    </w:p>
    <w:p>
      <w:pPr>
        <w:spacing w:after="80" w:lineRule="auto" w:line="360"/>
        <w:ind w:firstLine="482"/>
        <w:jc w:val="both"/>
      </w:pPr>
      <w:r>
        <w:rPr>
          <w:rFonts w:ascii="Times New Roman" w:hAnsi="Times New Roman" w:eastAsia="宋体"/>
          <w:b w:val="0"/>
          <w:sz w:val="24"/>
        </w:rPr>
        <w:t>秘书：郭宇婷</w:t>
      </w:r>
    </w:p>
    <w:p>
      <w:pPr>
        <w:spacing w:after="80" w:lineRule="auto" w:line="360"/>
        <w:ind w:firstLine="482"/>
        <w:jc w:val="both"/>
      </w:pPr>
      <w:r>
        <w:rPr>
          <w:rFonts w:ascii="Times New Roman" w:hAnsi="Times New Roman" w:eastAsia="宋体"/>
          <w:b w:val="0"/>
          <w:sz w:val="24"/>
        </w:rPr>
        <w:t>推免监督小组名单（同一组内按姓氏笔画排序）</w:t>
      </w:r>
    </w:p>
    <w:p>
      <w:pPr>
        <w:spacing w:after="80" w:lineRule="auto" w:line="360"/>
        <w:ind w:firstLine="482"/>
        <w:jc w:val="both"/>
      </w:pPr>
      <w:r>
        <w:rPr>
          <w:rFonts w:ascii="Times New Roman" w:hAnsi="Times New Roman" w:eastAsia="宋体"/>
          <w:b w:val="0"/>
          <w:sz w:val="24"/>
        </w:rPr>
        <w:t>组长：郭永欣</w:t>
      </w:r>
    </w:p>
    <w:p>
      <w:pPr>
        <w:spacing w:after="80" w:lineRule="auto" w:line="360"/>
        <w:ind w:firstLine="482"/>
        <w:jc w:val="both"/>
      </w:pPr>
      <w:r>
        <w:rPr>
          <w:rFonts w:ascii="Times New Roman" w:hAnsi="Times New Roman" w:eastAsia="宋体"/>
          <w:b w:val="0"/>
          <w:sz w:val="24"/>
        </w:rPr>
        <w:t>副组长：罗利</w:t>
      </w:r>
    </w:p>
    <w:p>
      <w:pPr>
        <w:spacing w:after="80" w:lineRule="auto" w:line="360"/>
        <w:ind w:firstLine="482"/>
        <w:jc w:val="both"/>
      </w:pPr>
      <w:r>
        <w:rPr>
          <w:rFonts w:ascii="Times New Roman" w:hAnsi="Times New Roman" w:eastAsia="宋体"/>
          <w:b w:val="0"/>
          <w:sz w:val="24"/>
        </w:rPr>
        <w:t>组员：丁晓梅、王常有</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推免工作以习近平新时代中国特色社会主义思想为指导，深入贯彻全国教育大会精神，落实全国研究生教育会议部署，紧紧围绕落实立德树人根本任务，牢固树立质量意识，积极服务国家发展需求，按照教育部推免工作相关文件要求，进一步完善全面考查、综合评价、择优选拔、公平公正的工作机制，切实提高推免选拔质量。</w:t>
      </w:r>
    </w:p>
    <w:p>
      <w:pPr>
        <w:spacing w:after="80" w:lineRule="auto" w:line="360"/>
        <w:ind w:firstLine="482"/>
        <w:jc w:val="both"/>
      </w:pPr>
      <w:r>
        <w:rPr>
          <w:rFonts w:ascii="Times New Roman" w:hAnsi="Times New Roman" w:eastAsia="宋体"/>
          <w:b w:val="0"/>
          <w:sz w:val="24"/>
        </w:rPr>
        <w:t>落实立德树人根本任务。坚持德智体美劳全面衡量，以德为先，把学生思想品德考核作为推免生遴选的重要内容和录取的重要依据。严格遵循实事求是的原则，注重对学生政治态度、思想表现、道德品质、科学精神、诚实守信、遵纪守法等方面的考查，思想品德考核不合格者不予推荐和录取。</w:t>
      </w:r>
    </w:p>
    <w:p>
      <w:pPr>
        <w:spacing w:after="80" w:lineRule="auto" w:line="360"/>
        <w:ind w:firstLine="482"/>
        <w:jc w:val="both"/>
      </w:pPr>
      <w:r>
        <w:rPr>
          <w:rFonts w:ascii="Times New Roman" w:hAnsi="Times New Roman" w:eastAsia="宋体"/>
          <w:b w:val="0"/>
          <w:sz w:val="24"/>
        </w:rPr>
        <w:t>突出考查学生的一贯学业表现。注重并加强对学生本科阶段学习情况的过程性评价。将学生本科阶段前3年学业综合成绩作为推免工作最基础的遴选指标，原则上推免遴选使用学生首次获得的成绩，坚决杜绝弄虚作假和重复考试刷成绩提高绩点的行为。</w:t>
      </w:r>
    </w:p>
    <w:p>
      <w:pPr>
        <w:spacing w:after="80" w:lineRule="auto" w:line="360"/>
        <w:ind w:firstLine="482"/>
        <w:jc w:val="both"/>
      </w:pPr>
      <w:r>
        <w:rPr>
          <w:rFonts w:ascii="Times New Roman" w:hAnsi="Times New Roman" w:eastAsia="宋体"/>
          <w:b w:val="0"/>
          <w:sz w:val="24"/>
        </w:rPr>
        <w:t>引导学生全面发展。将学生参军入伍服兵役、参加志愿服务、到国际组织实习、本研衔接培养成果、科技创新成果、竞赛获奖等符合全面发展价值导向等因素纳入学校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着力服务国家发展战略。牢牢把握推免工作服务国家发展战略的定位，从国家急迫需要和长远需求出发，坚持面向世界科技前沿、面向经济主战场、面向国家重大需求、面向人民生命健康，聚焦高精尖缺学科领域，科学确定重点支持的项目、专业范围，优先支持国家重大科技创新平台建设、重大科研任务攻关以及“双一流”学科建设。</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（一）申请推免，需满足下列基本条件：</w:t>
      </w:r>
    </w:p>
    <w:p>
      <w:pPr>
        <w:spacing w:after="80" w:lineRule="auto" w:line="360"/>
        <w:ind w:firstLine="482"/>
        <w:jc w:val="both"/>
      </w:pPr>
      <w:r>
        <w:rPr>
          <w:rFonts w:ascii="Times New Roman" w:hAnsi="Times New Roman" w:eastAsia="宋体"/>
          <w:b w:val="0"/>
          <w:sz w:val="24"/>
        </w:rPr>
        <w:t>1. 纳入国家普通本科招生计划录取的应届毕业生。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具有高尚的爱国主义情操和集体主义精神，社会主义信念坚定，社会责任感强，遵纪守法，积极向上，身心健康，在政治态度、思想表现、道德品质等方面表现优良。</w:t>
      </w:r>
    </w:p>
    <w:p>
      <w:pPr>
        <w:spacing w:after="80" w:lineRule="auto" w:line="360"/>
        <w:ind w:firstLine="482"/>
        <w:jc w:val="both"/>
      </w:pPr>
      <w:r>
        <w:rPr>
          <w:rFonts w:ascii="Times New Roman" w:hAnsi="Times New Roman" w:eastAsia="宋体"/>
          <w:b w:val="0"/>
          <w:sz w:val="24"/>
        </w:rPr>
        <w:t>3. 具备良好的科学精神和品质，诚实守信，学风端正，无任何考试作弊和剽窃他人学术成果等学术不端行为记录。</w:t>
      </w:r>
    </w:p>
    <w:p>
      <w:pPr>
        <w:spacing w:after="80" w:lineRule="auto" w:line="360"/>
        <w:ind w:firstLine="482"/>
        <w:jc w:val="both"/>
      </w:pPr>
      <w:r>
        <w:rPr>
          <w:rFonts w:ascii="Times New Roman" w:hAnsi="Times New Roman" w:eastAsia="宋体"/>
          <w:b w:val="0"/>
          <w:sz w:val="24"/>
        </w:rPr>
        <w:t>4. 品行表现优良，遵纪守法，无任何违法违纪受处分记录。</w:t>
      </w:r>
    </w:p>
    <w:p>
      <w:pPr>
        <w:spacing w:after="80" w:lineRule="auto" w:line="360"/>
        <w:ind w:firstLine="482"/>
        <w:jc w:val="both"/>
      </w:pPr>
      <w:r>
        <w:rPr>
          <w:rFonts w:ascii="Times New Roman" w:hAnsi="Times New Roman" w:eastAsia="宋体"/>
          <w:b w:val="0"/>
          <w:sz w:val="24"/>
        </w:rPr>
        <w:t>5. 应完成前三学年（四年制）培养方案中必修课程。</w:t>
      </w:r>
    </w:p>
    <w:p>
      <w:pPr>
        <w:spacing w:after="80" w:lineRule="auto" w:line="360"/>
        <w:ind w:firstLine="482"/>
        <w:jc w:val="both"/>
      </w:pPr>
      <w:r>
        <w:rPr>
          <w:rFonts w:ascii="Times New Roman" w:hAnsi="Times New Roman" w:eastAsia="宋体"/>
          <w:b w:val="0"/>
          <w:sz w:val="24"/>
        </w:rPr>
        <w:t>（二）满足上述基本条件，符合下列之一者可申请推荐：</w:t>
      </w:r>
    </w:p>
    <w:p>
      <w:pPr>
        <w:spacing w:after="80" w:lineRule="auto" w:line="360"/>
        <w:ind w:firstLine="482"/>
        <w:jc w:val="both"/>
      </w:pPr>
      <w:r>
        <w:rPr>
          <w:rFonts w:ascii="Times New Roman" w:hAnsi="Times New Roman" w:eastAsia="宋体"/>
          <w:b w:val="0"/>
          <w:sz w:val="24"/>
        </w:rPr>
        <w:t>1. 勤奋学习，刻苦钻研，成绩优秀，学习成绩排名专业前40%。</w:t>
      </w:r>
    </w:p>
    <w:p>
      <w:pPr>
        <w:spacing w:after="80" w:lineRule="auto" w:line="360"/>
        <w:ind w:firstLine="482"/>
        <w:jc w:val="both"/>
      </w:pPr>
      <w:r>
        <w:rPr>
          <w:rFonts w:ascii="Times New Roman" w:hAnsi="Times New Roman" w:eastAsia="宋体"/>
          <w:b w:val="0"/>
          <w:sz w:val="24"/>
        </w:rPr>
        <w:t>2. 各类创新活动、体育竞赛成绩特别突出，满足下列条件之一且学习成绩排名专业前50%：</w:t>
      </w:r>
    </w:p>
    <w:p>
      <w:pPr>
        <w:spacing w:after="80" w:lineRule="auto" w:line="360"/>
        <w:ind w:firstLine="482"/>
        <w:jc w:val="both"/>
      </w:pPr>
      <w:r>
        <w:rPr>
          <w:rFonts w:ascii="Times New Roman" w:hAnsi="Times New Roman" w:eastAsia="宋体"/>
          <w:b w:val="0"/>
          <w:sz w:val="24"/>
        </w:rPr>
        <w:t>（1）作为主力成员参加与学业相关的国内广泛认可的学科竞赛（全国赛）并获得三等奖及以上奖励（国际赛事参照执行，但不得低于国内赛事相关要求），竞赛项目名单见附件。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（2）获正式授权发明专利者（第1发明人）。</w:t>
      </w:r>
    </w:p>
    <w:p>
      <w:pPr>
        <w:spacing w:after="80" w:lineRule="auto" w:line="360"/>
        <w:ind w:firstLine="482"/>
        <w:jc w:val="both"/>
      </w:pPr>
      <w:r>
        <w:rPr>
          <w:rFonts w:ascii="Times New Roman" w:hAnsi="Times New Roman" w:eastAsia="宋体"/>
          <w:b w:val="0"/>
          <w:sz w:val="24"/>
        </w:rPr>
        <w:t>（3）在国内外核心期刊或经学校认定的部分学科重要的国际会议上以独立作者或第1作者发表与学业相关的科研论文（含被录用者）。</w:t>
      </w:r>
    </w:p>
    <w:p>
      <w:pPr>
        <w:spacing w:after="80" w:lineRule="auto" w:line="360"/>
        <w:ind w:firstLine="482"/>
        <w:jc w:val="both"/>
      </w:pPr>
      <w:r>
        <w:rPr>
          <w:rFonts w:ascii="Times New Roman" w:hAnsi="Times New Roman" w:eastAsia="宋体"/>
          <w:b w:val="0"/>
          <w:sz w:val="24"/>
        </w:rPr>
        <w:t>（4）参加国家级大学生创新创业训练计划项目，并在国家大学生创新创业年会中获得表彰和奖励的项目成员。</w:t>
      </w:r>
    </w:p>
    <w:p>
      <w:pPr>
        <w:spacing w:after="80" w:lineRule="auto" w:line="360"/>
        <w:ind w:firstLine="482"/>
        <w:jc w:val="both"/>
      </w:pPr>
      <w:r>
        <w:rPr>
          <w:rFonts w:ascii="Times New Roman" w:hAnsi="Times New Roman" w:eastAsia="宋体"/>
          <w:b w:val="0"/>
          <w:sz w:val="24"/>
        </w:rPr>
        <w:t>（5）获得经学校认定的国际体育赛事参赛资格、全国大学生体育比赛获集体项目前8名、个人项目前6名，辽宁省大学生体育比赛集体项目、个人项目第1名。</w:t>
      </w:r>
    </w:p>
    <w:p>
      <w:pPr>
        <w:spacing w:before="160" w:after="80" w:lineRule="auto" w:line="360"/>
        <w:jc w:val="left"/>
      </w:pPr>
      <w:r>
        <w:rPr>
          <w:rFonts w:ascii="Times New Roman" w:hAnsi="Times New Roman" w:eastAsia="宋体"/>
          <w:b/>
          <w:sz w:val="28"/>
        </w:rPr>
        <w:t>四、推荐名额分配</w:t>
      </w:r>
    </w:p>
    <w:p>
      <w:pPr>
        <w:spacing w:after="80" w:lineRule="auto" w:line="360"/>
        <w:ind w:firstLine="482"/>
        <w:jc w:val="both"/>
      </w:pPr>
      <w:r>
        <w:rPr>
          <w:rFonts w:ascii="Times New Roman" w:hAnsi="Times New Roman" w:eastAsia="宋体"/>
          <w:b w:val="0"/>
          <w:sz w:val="24"/>
        </w:rPr>
        <w:t>根据学校2026年推荐优秀应届本科毕业生免试攻读研究生的名额分配情况，商学院普通类推免名额分配情况如下：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普通类推免名额</w:t>
            </w:r>
          </w:p>
        </w:tc>
      </w:tr>
      <w:tr>
        <w:tc>
          <w:tcPr>
            <w:tcW w:type="dxa" w:w="4317"/>
          </w:tcPr>
          <w:p>
            <w:pPr>
              <w:spacing w:after="20" w:before="20"/>
            </w:pPr>
            <w:r/>
            <w:r>
              <w:rPr>
                <w:rFonts w:ascii="Times New Roman" w:hAnsi="Times New Roman" w:eastAsia="宋体"/>
                <w:b w:val="0"/>
                <w:sz w:val="21"/>
              </w:rPr>
              <w:t>电子商务</w:t>
            </w:r>
          </w:p>
        </w:tc>
        <w:tc>
          <w:tcPr>
            <w:tcW w:type="dxa" w:w="4317"/>
          </w:tcPr>
          <w:p>
            <w:pPr>
              <w:spacing w:after="20" w:before="20"/>
            </w:pPr>
            <w:r/>
            <w:r>
              <w:rPr>
                <w:rFonts w:ascii="Times New Roman" w:hAnsi="Times New Roman" w:eastAsia="宋体"/>
                <w:b w:val="0"/>
                <w:sz w:val="21"/>
              </w:rPr>
              <w:t>7</w:t>
            </w:r>
          </w:p>
        </w:tc>
      </w:tr>
      <w:tr>
        <w:tc>
          <w:tcPr>
            <w:tcW w:type="dxa" w:w="4317"/>
          </w:tcPr>
          <w:p>
            <w:pPr>
              <w:spacing w:after="20" w:before="20"/>
            </w:pPr>
            <w:r/>
            <w:r>
              <w:rPr>
                <w:rFonts w:ascii="Times New Roman" w:hAnsi="Times New Roman" w:eastAsia="宋体"/>
                <w:b w:val="0"/>
                <w:sz w:val="21"/>
              </w:rPr>
              <w:t>经济学</w:t>
            </w:r>
          </w:p>
        </w:tc>
        <w:tc>
          <w:tcPr>
            <w:tcW w:type="dxa" w:w="4317"/>
          </w:tcPr>
          <w:p>
            <w:pPr>
              <w:spacing w:after="20" w:before="20"/>
            </w:pPr>
            <w:r/>
            <w:r>
              <w:rPr>
                <w:rFonts w:ascii="Times New Roman" w:hAnsi="Times New Roman" w:eastAsia="宋体"/>
                <w:b w:val="0"/>
                <w:sz w:val="21"/>
              </w:rPr>
              <w:t>16</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