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ind w:left="2689" w:right="428" w:hanging="2370"/>
        <w:spacing w:before="80" w:line="226" w:lineRule="auto"/>
        <w:outlineLvl w:val="0"/>
        <w:rPr>
          <w:rFonts w:ascii="SimHei" w:hAnsi="SimHei" w:eastAsia="SimHei" w:cs="SimHei"/>
          <w:sz w:val="40"/>
          <w:szCs w:val="40"/>
        </w:rPr>
      </w:pPr>
      <w:r>
        <w:rPr>
          <w:rFonts w:ascii="SimHei" w:hAnsi="SimHei" w:eastAsia="SimHei" w:cs="SimHei"/>
          <w:sz w:val="40"/>
          <w:szCs w:val="40"/>
          <w:spacing w:val="-1"/>
        </w:rPr>
        <w:t>集美大学推荐优秀应届本科毕业生免试攻读硕士学</w:t>
      </w:r>
      <w:r>
        <w:rPr>
          <w:rFonts w:ascii="SimHei" w:hAnsi="SimHei" w:eastAsia="SimHei" w:cs="SimHei"/>
          <w:sz w:val="40"/>
          <w:szCs w:val="40"/>
          <w:spacing w:val="2"/>
        </w:rPr>
        <w:t xml:space="preserve"> </w:t>
      </w:r>
      <w:r>
        <w:rPr>
          <w:rFonts w:ascii="SimHei" w:hAnsi="SimHei" w:eastAsia="SimHei" w:cs="SimHei"/>
          <w:sz w:val="40"/>
          <w:szCs w:val="40"/>
          <w:spacing w:val="1"/>
        </w:rPr>
        <w:t>位研究生工作实施办法</w:t>
      </w:r>
    </w:p>
    <w:p>
      <w:pPr>
        <w:pStyle w:val="BodyText"/>
        <w:ind w:left="5273"/>
        <w:spacing w:before="166" w:line="219" w:lineRule="auto"/>
        <w:rPr>
          <w:rFonts w:ascii="Times New Roman" w:hAnsi="Times New Roman" w:eastAsia="Times New Roman" w:cs="Times New Roman"/>
          <w:sz w:val="20"/>
          <w:szCs w:val="20"/>
        </w:rPr>
      </w:pPr>
      <w:r>
        <w:drawing>
          <wp:anchor distT="0" distB="0" distL="0" distR="0" simplePos="0" relativeHeight="251658240" behindDoc="0" locked="0" layoutInCell="1" allowOverlap="1">
            <wp:simplePos x="0" y="0"/>
            <wp:positionH relativeFrom="column">
              <wp:posOffset>82550</wp:posOffset>
            </wp:positionH>
            <wp:positionV relativeFrom="paragraph">
              <wp:posOffset>236027</wp:posOffset>
            </wp:positionV>
            <wp:extent cx="5590047" cy="6350"/>
            <wp:effectExtent l="0" t="0" r="0" b="0"/>
            <wp:wrapNone/>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5590047" cy="6350"/>
                    </a:xfrm>
                    <a:prstGeom prst="rect">
                      <a:avLst/>
                    </a:prstGeom>
                  </pic:spPr>
                </pic:pic>
              </a:graphicData>
            </a:graphic>
          </wp:anchor>
        </w:drawing>
      </w:r>
      <w:r>
        <w:rPr>
          <w:sz w:val="20"/>
          <w:szCs w:val="20"/>
          <w:color w:val="103040"/>
          <w:spacing w:val="-5"/>
        </w:rPr>
        <w:t>文</w:t>
      </w:r>
      <w:r>
        <w:rPr>
          <w:sz w:val="20"/>
          <w:szCs w:val="20"/>
          <w:color w:val="103040"/>
          <w:spacing w:val="54"/>
        </w:rPr>
        <w:t xml:space="preserve"> </w:t>
      </w:r>
      <w:r>
        <w:rPr>
          <w:sz w:val="20"/>
          <w:szCs w:val="20"/>
          <w:color w:val="103040"/>
          <w:spacing w:val="-5"/>
        </w:rPr>
        <w:t>件</w:t>
      </w:r>
      <w:r>
        <w:rPr>
          <w:sz w:val="20"/>
          <w:szCs w:val="20"/>
          <w:color w:val="103040"/>
          <w:spacing w:val="55"/>
        </w:rPr>
        <w:t xml:space="preserve"> </w:t>
      </w:r>
      <w:r>
        <w:rPr>
          <w:sz w:val="20"/>
          <w:szCs w:val="20"/>
          <w:color w:val="103040"/>
          <w:spacing w:val="-5"/>
        </w:rPr>
        <w:t>编</w:t>
      </w:r>
      <w:r>
        <w:rPr>
          <w:sz w:val="20"/>
          <w:szCs w:val="20"/>
          <w:color w:val="103040"/>
          <w:spacing w:val="58"/>
        </w:rPr>
        <w:t xml:space="preserve"> </w:t>
      </w:r>
      <w:r>
        <w:rPr>
          <w:sz w:val="20"/>
          <w:szCs w:val="20"/>
          <w:color w:val="103040"/>
          <w:spacing w:val="-5"/>
        </w:rPr>
        <w:t>号</w:t>
      </w:r>
      <w:r>
        <w:rPr>
          <w:sz w:val="20"/>
          <w:szCs w:val="20"/>
          <w:color w:val="103040"/>
          <w:spacing w:val="70"/>
        </w:rPr>
        <w:t xml:space="preserve"> </w:t>
      </w:r>
      <w:r>
        <w:rPr>
          <w:sz w:val="20"/>
          <w:szCs w:val="20"/>
          <w:color w:val="103040"/>
          <w:spacing w:val="-5"/>
        </w:rPr>
        <w:t>：</w:t>
      </w:r>
      <w:r>
        <w:rPr>
          <w:rFonts w:ascii="Times New Roman" w:hAnsi="Times New Roman" w:eastAsia="Times New Roman" w:cs="Times New Roman"/>
          <w:sz w:val="20"/>
          <w:szCs w:val="20"/>
          <w:color w:val="103040"/>
          <w:spacing w:val="-5"/>
        </w:rPr>
        <w:t>J   D   0</w:t>
      </w:r>
      <w:r>
        <w:rPr>
          <w:rFonts w:ascii="Times New Roman" w:hAnsi="Times New Roman" w:eastAsia="Times New Roman" w:cs="Times New Roman"/>
          <w:sz w:val="20"/>
          <w:szCs w:val="20"/>
          <w:color w:val="103040"/>
          <w:spacing w:val="24"/>
          <w:w w:val="101"/>
        </w:rPr>
        <w:t xml:space="preserve">  </w:t>
      </w:r>
      <w:r>
        <w:rPr>
          <w:rFonts w:ascii="Times New Roman" w:hAnsi="Times New Roman" w:eastAsia="Times New Roman" w:cs="Times New Roman"/>
          <w:sz w:val="20"/>
          <w:szCs w:val="20"/>
          <w:color w:val="103040"/>
          <w:spacing w:val="-5"/>
        </w:rPr>
        <w:t>4</w:t>
      </w:r>
      <w:r>
        <w:rPr>
          <w:rFonts w:ascii="Times New Roman" w:hAnsi="Times New Roman" w:eastAsia="Times New Roman" w:cs="Times New Roman"/>
          <w:sz w:val="20"/>
          <w:szCs w:val="20"/>
          <w:color w:val="103040"/>
          <w:spacing w:val="25"/>
        </w:rPr>
        <w:t xml:space="preserve">  </w:t>
      </w:r>
      <w:r>
        <w:rPr>
          <w:rFonts w:ascii="Times New Roman" w:hAnsi="Times New Roman" w:eastAsia="Times New Roman" w:cs="Times New Roman"/>
          <w:sz w:val="20"/>
          <w:szCs w:val="20"/>
          <w:color w:val="103040"/>
          <w:spacing w:val="-5"/>
        </w:rPr>
        <w:t>J</w:t>
      </w:r>
      <w:r>
        <w:rPr>
          <w:rFonts w:ascii="Times New Roman" w:hAnsi="Times New Roman" w:eastAsia="Times New Roman" w:cs="Times New Roman"/>
          <w:sz w:val="20"/>
          <w:szCs w:val="20"/>
          <w:color w:val="103040"/>
        </w:rPr>
        <w:t xml:space="preserve">   </w:t>
      </w:r>
      <w:r>
        <w:rPr>
          <w:rFonts w:ascii="Times New Roman" w:hAnsi="Times New Roman" w:eastAsia="Times New Roman" w:cs="Times New Roman"/>
          <w:sz w:val="20"/>
          <w:szCs w:val="20"/>
          <w:color w:val="103040"/>
          <w:spacing w:val="-5"/>
        </w:rPr>
        <w:t>T</w:t>
      </w:r>
      <w:r>
        <w:rPr>
          <w:rFonts w:ascii="Times New Roman" w:hAnsi="Times New Roman" w:eastAsia="Times New Roman" w:cs="Times New Roman"/>
          <w:sz w:val="20"/>
          <w:szCs w:val="20"/>
          <w:color w:val="103040"/>
          <w:spacing w:val="1"/>
        </w:rPr>
        <w:t xml:space="preserve">   </w:t>
      </w:r>
      <w:r>
        <w:rPr>
          <w:rFonts w:ascii="Times New Roman" w:hAnsi="Times New Roman" w:eastAsia="Times New Roman" w:cs="Times New Roman"/>
          <w:sz w:val="20"/>
          <w:szCs w:val="20"/>
          <w:color w:val="103040"/>
          <w:spacing w:val="-5"/>
        </w:rPr>
        <w:t>0</w:t>
      </w:r>
      <w:r>
        <w:rPr>
          <w:rFonts w:ascii="Times New Roman" w:hAnsi="Times New Roman" w:eastAsia="Times New Roman" w:cs="Times New Roman"/>
          <w:sz w:val="20"/>
          <w:szCs w:val="20"/>
          <w:color w:val="103040"/>
          <w:spacing w:val="25"/>
          <w:w w:val="101"/>
        </w:rPr>
        <w:t xml:space="preserve">  </w:t>
      </w:r>
      <w:r>
        <w:rPr>
          <w:rFonts w:ascii="Times New Roman" w:hAnsi="Times New Roman" w:eastAsia="Times New Roman" w:cs="Times New Roman"/>
          <w:sz w:val="20"/>
          <w:szCs w:val="20"/>
          <w:color w:val="103040"/>
          <w:spacing w:val="-5"/>
        </w:rPr>
        <w:t>2</w:t>
      </w:r>
      <w:r>
        <w:rPr>
          <w:rFonts w:ascii="Times New Roman" w:hAnsi="Times New Roman" w:eastAsia="Times New Roman" w:cs="Times New Roman"/>
          <w:sz w:val="20"/>
          <w:szCs w:val="20"/>
          <w:color w:val="103040"/>
          <w:spacing w:val="6"/>
        </w:rPr>
        <w:t xml:space="preserve">   </w:t>
      </w:r>
      <w:r>
        <w:rPr>
          <w:rFonts w:ascii="Times New Roman" w:hAnsi="Times New Roman" w:eastAsia="Times New Roman" w:cs="Times New Roman"/>
          <w:sz w:val="20"/>
          <w:szCs w:val="20"/>
          <w:color w:val="103040"/>
          <w:spacing w:val="-5"/>
        </w:rPr>
        <w:t>1</w:t>
      </w:r>
    </w:p>
    <w:p>
      <w:pPr>
        <w:ind w:left="3949"/>
        <w:spacing w:before="63" w:line="222" w:lineRule="auto"/>
        <w:rPr>
          <w:rFonts w:ascii="SimHei" w:hAnsi="SimHei" w:eastAsia="SimHei" w:cs="SimHei"/>
          <w:sz w:val="28"/>
          <w:szCs w:val="28"/>
        </w:rPr>
      </w:pPr>
      <w:r>
        <w:rPr>
          <w:rFonts w:ascii="SimHei" w:hAnsi="SimHei" w:eastAsia="SimHei" w:cs="SimHei"/>
          <w:sz w:val="28"/>
          <w:szCs w:val="28"/>
          <w:spacing w:val="15"/>
        </w:rPr>
        <w:t>第一章总则</w:t>
      </w:r>
    </w:p>
    <w:p>
      <w:pPr>
        <w:pStyle w:val="BodyText"/>
        <w:ind w:left="609"/>
        <w:spacing w:before="92" w:line="219" w:lineRule="auto"/>
        <w:rPr/>
      </w:pPr>
      <w:r>
        <w:rPr>
          <w:spacing w:val="-9"/>
        </w:rPr>
        <w:t>第一条为做好学校推荐优秀应届本科毕业生免试攻读硕士研究生(以下简称"推</w:t>
      </w:r>
    </w:p>
    <w:p>
      <w:pPr>
        <w:pStyle w:val="BodyText"/>
        <w:ind w:firstLine="130"/>
        <w:spacing w:before="84" w:line="262" w:lineRule="auto"/>
        <w:rPr/>
      </w:pPr>
      <w:r>
        <w:rPr>
          <w:spacing w:val="-18"/>
        </w:rPr>
        <w:t>免生”)工作，选拔具有突出专业能力和创新能力的优秀应届本科毕业生攻读硕士研究</w:t>
      </w:r>
      <w:r>
        <w:rPr>
          <w:spacing w:val="5"/>
        </w:rPr>
        <w:t xml:space="preserve">   </w:t>
      </w:r>
      <w:r>
        <w:rPr>
          <w:spacing w:val="-14"/>
        </w:rPr>
        <w:t>生，鼓励本科生勤奋学习、积极创新、全面发展，根据《教育部关</w:t>
      </w:r>
      <w:r>
        <w:rPr>
          <w:spacing w:val="-15"/>
        </w:rPr>
        <w:t>于印发&lt;全国普通高</w:t>
      </w:r>
      <w:r>
        <w:rPr/>
        <w:t xml:space="preserve">   </w:t>
      </w:r>
      <w:r>
        <w:rPr>
          <w:spacing w:val="-12"/>
        </w:rPr>
        <w:t>等学校推荐优秀应届本科毕业生免试攻读硕士学位研究生工作管理办法(试行)&gt;的通知》</w:t>
      </w:r>
      <w:r>
        <w:rPr/>
        <w:t xml:space="preserve"> </w:t>
      </w:r>
      <w:r>
        <w:rPr>
          <w:spacing w:val="-17"/>
        </w:rPr>
        <w:t>《教育部办公厅关于进一步加强推荐优秀应届本科毕业生免试攻读研究</w:t>
      </w:r>
      <w:r>
        <w:rPr>
          <w:spacing w:val="-18"/>
        </w:rPr>
        <w:t>生工作办法的</w:t>
      </w:r>
    </w:p>
    <w:p>
      <w:pPr>
        <w:pStyle w:val="BodyText"/>
        <w:ind w:left="130" w:right="316"/>
        <w:spacing w:before="82" w:line="260" w:lineRule="auto"/>
        <w:rPr/>
      </w:pPr>
      <w:r>
        <w:rPr>
          <w:spacing w:val="-21"/>
        </w:rPr>
        <w:t>通知》《教育部办公厅关于进一步完善推荐优秀应届本科毕业生免试攻读研究生工作办</w:t>
      </w:r>
      <w:r>
        <w:rPr>
          <w:spacing w:val="1"/>
        </w:rPr>
        <w:t xml:space="preserve"> </w:t>
      </w:r>
      <w:r>
        <w:rPr>
          <w:spacing w:val="-21"/>
        </w:rPr>
        <w:t>法的通知》《教育部办公厅关于进一步规范和加强推荐优秀应届本科毕业生免试</w:t>
      </w:r>
      <w:r>
        <w:rPr>
          <w:spacing w:val="-22"/>
        </w:rPr>
        <w:t>攻读研</w:t>
      </w:r>
      <w:r>
        <w:rPr/>
        <w:t xml:space="preserve"> </w:t>
      </w:r>
      <w:r>
        <w:rPr>
          <w:spacing w:val="-20"/>
        </w:rPr>
        <w:t>究生工作的通知》等文件精神，结合学校实际，特制定本办法。</w:t>
      </w:r>
    </w:p>
    <w:p>
      <w:pPr>
        <w:pStyle w:val="BodyText"/>
        <w:ind w:left="130" w:right="318" w:firstLine="479"/>
        <w:spacing w:before="132" w:line="267" w:lineRule="auto"/>
        <w:rPr/>
      </w:pPr>
      <w:r>
        <w:rPr>
          <w:spacing w:val="-16"/>
        </w:rPr>
        <w:t>第二条本办法所称免试，是指我校应届本科毕业生不经过</w:t>
      </w:r>
      <w:r>
        <w:rPr>
          <w:spacing w:val="-17"/>
        </w:rPr>
        <w:t>全国硕士研究生入学统</w:t>
      </w:r>
      <w:r>
        <w:rPr/>
        <w:t xml:space="preserve"> </w:t>
      </w:r>
      <w:r>
        <w:rPr>
          <w:spacing w:val="-21"/>
        </w:rPr>
        <w:t>一考试的初试，直接进入复试；本办法所称推荐，是指我校按照规定对本校优秀应</w:t>
      </w:r>
      <w:r>
        <w:rPr>
          <w:spacing w:val="-22"/>
        </w:rPr>
        <w:t>届本</w:t>
      </w:r>
      <w:r>
        <w:rPr/>
        <w:t xml:space="preserve"> </w:t>
      </w:r>
      <w:r>
        <w:rPr>
          <w:spacing w:val="-20"/>
        </w:rPr>
        <w:t>科毕业生进行遴选，确认其推免生资格并向招生单位推荐。</w:t>
      </w:r>
    </w:p>
    <w:p>
      <w:pPr>
        <w:spacing w:line="394" w:lineRule="auto"/>
        <w:rPr>
          <w:rFonts w:ascii="Arial"/>
          <w:sz w:val="21"/>
        </w:rPr>
      </w:pPr>
      <w:r/>
    </w:p>
    <w:p>
      <w:pPr>
        <w:ind w:left="3100"/>
        <w:spacing w:before="85" w:line="222" w:lineRule="auto"/>
        <w:rPr>
          <w:rFonts w:ascii="SimHei" w:hAnsi="SimHei" w:eastAsia="SimHei" w:cs="SimHei"/>
          <w:sz w:val="26"/>
          <w:szCs w:val="26"/>
        </w:rPr>
      </w:pPr>
      <w:r>
        <w:rPr>
          <w:rFonts w:ascii="SimHei" w:hAnsi="SimHei" w:eastAsia="SimHei" w:cs="SimHei"/>
          <w:sz w:val="26"/>
          <w:szCs w:val="26"/>
          <w:spacing w:val="-14"/>
        </w:rPr>
        <w:t>第二章</w:t>
      </w:r>
      <w:r>
        <w:rPr>
          <w:rFonts w:ascii="SimHei" w:hAnsi="SimHei" w:eastAsia="SimHei" w:cs="SimHei"/>
          <w:sz w:val="26"/>
          <w:szCs w:val="26"/>
          <w:spacing w:val="101"/>
        </w:rPr>
        <w:t xml:space="preserve"> </w:t>
      </w:r>
      <w:r>
        <w:rPr>
          <w:rFonts w:ascii="SimHei" w:hAnsi="SimHei" w:eastAsia="SimHei" w:cs="SimHei"/>
          <w:sz w:val="26"/>
          <w:szCs w:val="26"/>
          <w:spacing w:val="-14"/>
        </w:rPr>
        <w:t>推免生工作组织领导</w:t>
      </w:r>
    </w:p>
    <w:p>
      <w:pPr>
        <w:pStyle w:val="BodyText"/>
        <w:ind w:left="130" w:right="314" w:firstLine="479"/>
        <w:spacing w:before="88" w:line="268" w:lineRule="auto"/>
        <w:rPr/>
      </w:pPr>
      <w:r>
        <w:rPr>
          <w:spacing w:val="-16"/>
        </w:rPr>
        <w:t>第三条学校成立推免生遴选工作领导小组，由校长担任</w:t>
      </w:r>
      <w:r>
        <w:rPr>
          <w:spacing w:val="-17"/>
        </w:rPr>
        <w:t>组长；分管学生工作、研</w:t>
      </w:r>
      <w:r>
        <w:rPr/>
        <w:t xml:space="preserve"> </w:t>
      </w:r>
      <w:r>
        <w:rPr>
          <w:spacing w:val="-21"/>
        </w:rPr>
        <w:t>究生工作和本科教学工作的校领导担任副组长，领导小组成员由教务处、党委学生工作</w:t>
      </w:r>
      <w:r>
        <w:rPr>
          <w:spacing w:val="2"/>
        </w:rPr>
        <w:t xml:space="preserve"> </w:t>
      </w:r>
      <w:r>
        <w:rPr>
          <w:spacing w:val="-21"/>
        </w:rPr>
        <w:t>部、研究生院、招生办公室、校团委、创新创业中心、科研处等部门负责人组成</w:t>
      </w:r>
      <w:r>
        <w:rPr>
          <w:spacing w:val="-22"/>
        </w:rPr>
        <w:t>，全面</w:t>
      </w:r>
      <w:r>
        <w:rPr/>
        <w:t xml:space="preserve"> </w:t>
      </w:r>
      <w:r>
        <w:rPr>
          <w:spacing w:val="-20"/>
        </w:rPr>
        <w:t>负责推免生遴选的各项工作。推免生工作领导小组办公室设在教务处。</w:t>
      </w:r>
    </w:p>
    <w:p>
      <w:pPr>
        <w:pStyle w:val="BodyText"/>
        <w:ind w:left="130" w:right="200" w:firstLine="479"/>
        <w:spacing w:before="82" w:line="267" w:lineRule="auto"/>
        <w:rPr/>
      </w:pPr>
      <w:r>
        <w:rPr>
          <w:spacing w:val="-12"/>
        </w:rPr>
        <w:t>第四条各学院应成立5-9人组成的推免生遴选工作小组</w:t>
      </w:r>
      <w:r>
        <w:rPr>
          <w:spacing w:val="-13"/>
        </w:rPr>
        <w:t>，由院长担任组长，小组</w:t>
      </w:r>
      <w:r>
        <w:rPr/>
        <w:t xml:space="preserve">  </w:t>
      </w:r>
      <w:r>
        <w:rPr>
          <w:spacing w:val="-14"/>
        </w:rPr>
        <w:t>成员应包括学院党政领导、学科带头人(或专业负责人)和教师代表等，</w:t>
      </w:r>
      <w:r>
        <w:rPr>
          <w:spacing w:val="-15"/>
        </w:rPr>
        <w:t>全面负责本学</w:t>
      </w:r>
      <w:r>
        <w:rPr/>
        <w:t xml:space="preserve">  </w:t>
      </w:r>
      <w:r>
        <w:rPr>
          <w:spacing w:val="-24"/>
        </w:rPr>
        <w:t>院的推免工作，落实集体议事和集体决策制度。小组成员名单及联系方式报</w:t>
      </w:r>
      <w:r>
        <w:rPr>
          <w:spacing w:val="-25"/>
        </w:rPr>
        <w:t>教务处备案。</w:t>
      </w:r>
    </w:p>
    <w:p>
      <w:pPr>
        <w:pStyle w:val="BodyText"/>
        <w:ind w:left="130" w:right="386" w:firstLine="479"/>
        <w:spacing w:before="70" w:line="255" w:lineRule="auto"/>
        <w:rPr/>
      </w:pPr>
      <w:r>
        <w:rPr>
          <w:spacing w:val="-16"/>
        </w:rPr>
        <w:t>第五条学院根据本办法制定推免工作的实施细则。学院制定的</w:t>
      </w:r>
      <w:r>
        <w:rPr>
          <w:spacing w:val="-17"/>
        </w:rPr>
        <w:t>实施细则应在本学</w:t>
      </w:r>
      <w:r>
        <w:rPr/>
        <w:t xml:space="preserve"> </w:t>
      </w:r>
      <w:r>
        <w:rPr>
          <w:spacing w:val="-20"/>
        </w:rPr>
        <w:t>院内公布并加盖公章报教务处审核，未经教务处审核的实施细则无效。</w:t>
      </w:r>
    </w:p>
    <w:p>
      <w:pPr>
        <w:spacing w:line="404" w:lineRule="auto"/>
        <w:rPr>
          <w:rFonts w:ascii="Arial"/>
          <w:sz w:val="21"/>
        </w:rPr>
      </w:pPr>
      <w:r/>
    </w:p>
    <w:p>
      <w:pPr>
        <w:ind w:left="3359"/>
        <w:spacing w:before="85" w:line="222" w:lineRule="auto"/>
        <w:rPr>
          <w:rFonts w:ascii="SimHei" w:hAnsi="SimHei" w:eastAsia="SimHei" w:cs="SimHei"/>
          <w:sz w:val="26"/>
          <w:szCs w:val="26"/>
        </w:rPr>
      </w:pPr>
      <w:r>
        <w:rPr>
          <w:rFonts w:ascii="SimHei" w:hAnsi="SimHei" w:eastAsia="SimHei" w:cs="SimHei"/>
          <w:sz w:val="26"/>
          <w:szCs w:val="26"/>
          <w:spacing w:val="-13"/>
        </w:rPr>
        <w:t>第三章</w:t>
      </w:r>
      <w:r>
        <w:rPr>
          <w:rFonts w:ascii="SimHei" w:hAnsi="SimHei" w:eastAsia="SimHei" w:cs="SimHei"/>
          <w:sz w:val="26"/>
          <w:szCs w:val="26"/>
          <w:spacing w:val="82"/>
        </w:rPr>
        <w:t xml:space="preserve"> </w:t>
      </w:r>
      <w:r>
        <w:rPr>
          <w:rFonts w:ascii="SimHei" w:hAnsi="SimHei" w:eastAsia="SimHei" w:cs="SimHei"/>
          <w:sz w:val="26"/>
          <w:szCs w:val="26"/>
          <w:spacing w:val="-13"/>
        </w:rPr>
        <w:t>推免生名额分配</w:t>
      </w:r>
    </w:p>
    <w:p>
      <w:pPr>
        <w:pStyle w:val="BodyText"/>
        <w:ind w:left="130" w:right="415" w:firstLine="479"/>
        <w:spacing w:before="100" w:line="247" w:lineRule="auto"/>
        <w:rPr/>
      </w:pPr>
      <w:r>
        <w:rPr>
          <w:spacing w:val="-17"/>
        </w:rPr>
        <w:t>第六条全校推免生总名额由教育部每年度下达，学校推免生遴选工作领导小</w:t>
      </w:r>
      <w:r>
        <w:rPr>
          <w:spacing w:val="-18"/>
        </w:rPr>
        <w:t>组负</w:t>
      </w:r>
      <w:r>
        <w:rPr/>
        <w:t xml:space="preserve"> </w:t>
      </w:r>
      <w:r>
        <w:rPr>
          <w:spacing w:val="-20"/>
        </w:rPr>
        <w:t>责统筹，将名额分配至推免年度具有应届本科毕业生的学院。</w:t>
      </w:r>
    </w:p>
    <w:p>
      <w:pPr>
        <w:pStyle w:val="BodyText"/>
        <w:ind w:left="609"/>
        <w:spacing w:before="91" w:line="219" w:lineRule="auto"/>
        <w:rPr/>
      </w:pPr>
      <w:r>
        <w:rPr>
          <w:spacing w:val="-17"/>
        </w:rPr>
        <w:t>第七条学校在分配推免生名额时，将综合考虑以下方面的因素：</w:t>
      </w:r>
    </w:p>
    <w:p>
      <w:pPr>
        <w:pStyle w:val="BodyText"/>
        <w:ind w:left="130" w:right="316" w:firstLine="609"/>
        <w:spacing w:before="84" w:line="258" w:lineRule="auto"/>
        <w:rPr/>
      </w:pPr>
      <w:r>
        <w:rPr>
          <w:spacing w:val="-17"/>
        </w:rPr>
        <w:t>(一)学校的学科专业发展规划，各学院学科</w:t>
      </w:r>
      <w:r>
        <w:rPr>
          <w:spacing w:val="-18"/>
        </w:rPr>
        <w:t>专业建设成效，社会、用人单位对专</w:t>
      </w:r>
      <w:r>
        <w:rPr/>
        <w:t xml:space="preserve"> </w:t>
      </w:r>
      <w:r>
        <w:rPr>
          <w:spacing w:val="-21"/>
        </w:rPr>
        <w:t>业人才的需求情况；</w:t>
      </w:r>
    </w:p>
    <w:p>
      <w:pPr>
        <w:pStyle w:val="BodyText"/>
        <w:ind w:left="759"/>
        <w:spacing w:before="81" w:line="219" w:lineRule="auto"/>
        <w:rPr>
          <w:sz w:val="25"/>
          <w:szCs w:val="25"/>
        </w:rPr>
      </w:pPr>
      <w:r>
        <w:rPr>
          <w:sz w:val="25"/>
          <w:szCs w:val="25"/>
          <w:spacing w:val="-7"/>
        </w:rPr>
        <w:t>(二)各学院应届本科毕业生数以及硕博点建设情况；</w:t>
      </w:r>
    </w:p>
    <w:p>
      <w:pPr>
        <w:pStyle w:val="BodyText"/>
        <w:ind w:left="130" w:right="317"/>
        <w:spacing w:before="104"/>
        <w:tabs>
          <w:tab w:val="left" w:pos="437"/>
        </w:tabs>
        <w:rPr>
          <w:rFonts w:ascii="KaiTi" w:hAnsi="KaiTi" w:eastAsia="KaiTi" w:cs="KaiTi"/>
          <w:sz w:val="22"/>
          <w:szCs w:val="22"/>
        </w:rPr>
      </w:pPr>
      <w:r>
        <w:rPr>
          <w:sz w:val="25"/>
          <w:szCs w:val="25"/>
        </w:rPr>
        <w:tab/>
      </w:r>
      <w:r>
        <w:rPr>
          <w:sz w:val="25"/>
          <w:szCs w:val="25"/>
          <w:spacing w:val="1"/>
        </w:rPr>
        <w:t>(三)学生培养成效：包括高水平标志性成果、对国</w:t>
      </w:r>
      <w:r>
        <w:rPr>
          <w:sz w:val="25"/>
          <w:szCs w:val="25"/>
        </w:rPr>
        <w:t>家有特殊贡献、突出的培养潜 </w:t>
      </w:r>
      <w:r>
        <w:rPr>
          <w:rFonts w:ascii="KaiTi" w:hAnsi="KaiTi" w:eastAsia="KaiTi" w:cs="KaiTi"/>
          <w:sz w:val="20"/>
          <w:szCs w:val="20"/>
          <w:spacing w:val="-7"/>
        </w:rPr>
        <w:t>版本/版次：</w:t>
      </w:r>
      <w:r>
        <w:rPr>
          <w:rFonts w:ascii="Arial" w:hAnsi="Arial" w:eastAsia="Arial" w:cs="Arial"/>
          <w:sz w:val="20"/>
          <w:szCs w:val="20"/>
          <w:spacing w:val="-7"/>
        </w:rPr>
        <w:t>H/1</w:t>
      </w:r>
      <w:r>
        <w:rPr>
          <w:rFonts w:ascii="Arial" w:hAnsi="Arial" w:eastAsia="Arial" w:cs="Arial"/>
          <w:sz w:val="20"/>
          <w:szCs w:val="20"/>
          <w:spacing w:val="1"/>
        </w:rPr>
        <w:t xml:space="preserve">                            </w:t>
      </w:r>
      <w:r>
        <w:rPr>
          <w:rFonts w:ascii="Arial" w:hAnsi="Arial" w:eastAsia="Arial" w:cs="Arial"/>
          <w:sz w:val="20"/>
          <w:szCs w:val="20"/>
        </w:rPr>
        <w:t xml:space="preserve">                                                                                 </w:t>
      </w:r>
      <w:r>
        <w:rPr>
          <w:rFonts w:ascii="STXingkai" w:hAnsi="STXingkai" w:eastAsia="STXingkai" w:cs="STXingkai"/>
          <w:sz w:val="22"/>
          <w:szCs w:val="22"/>
          <w:spacing w:val="-7"/>
        </w:rPr>
        <w:t>第</w:t>
      </w:r>
      <w:r>
        <w:rPr>
          <w:rFonts w:ascii="STXingkai" w:hAnsi="STXingkai" w:eastAsia="STXingkai" w:cs="STXingkai"/>
          <w:sz w:val="22"/>
          <w:szCs w:val="22"/>
          <w:spacing w:val="17"/>
          <w:w w:val="101"/>
        </w:rPr>
        <w:t xml:space="preserve">  </w:t>
      </w:r>
      <w:r>
        <w:rPr>
          <w:rFonts w:ascii="STXingkai" w:hAnsi="STXingkai" w:eastAsia="STXingkai" w:cs="STXingkai"/>
          <w:sz w:val="22"/>
          <w:szCs w:val="22"/>
          <w:spacing w:val="-7"/>
        </w:rPr>
        <w:t>1</w:t>
      </w:r>
      <w:r>
        <w:rPr>
          <w:rFonts w:ascii="STXingkai" w:hAnsi="STXingkai" w:eastAsia="STXingkai" w:cs="STXingkai"/>
          <w:sz w:val="22"/>
          <w:szCs w:val="22"/>
          <w:spacing w:val="11"/>
        </w:rPr>
        <w:t xml:space="preserve">  </w:t>
      </w:r>
      <w:r>
        <w:rPr>
          <w:rFonts w:ascii="KaiTi" w:hAnsi="KaiTi" w:eastAsia="KaiTi" w:cs="KaiTi"/>
          <w:sz w:val="22"/>
          <w:szCs w:val="22"/>
          <w:spacing w:val="-7"/>
        </w:rPr>
        <w:t>页</w:t>
      </w:r>
      <w:r>
        <w:rPr>
          <w:rFonts w:ascii="KaiTi" w:hAnsi="KaiTi" w:eastAsia="KaiTi" w:cs="KaiTi"/>
          <w:sz w:val="22"/>
          <w:szCs w:val="22"/>
          <w:spacing w:val="-7"/>
        </w:rPr>
        <w:t xml:space="preserve"> </w:t>
      </w:r>
      <w:r>
        <w:rPr>
          <w:rFonts w:ascii="KaiTi" w:hAnsi="KaiTi" w:eastAsia="KaiTi" w:cs="KaiTi"/>
          <w:sz w:val="22"/>
          <w:szCs w:val="22"/>
          <w:spacing w:val="-7"/>
        </w:rPr>
        <w:t>共</w:t>
      </w:r>
      <w:r>
        <w:rPr>
          <w:rFonts w:ascii="KaiTi" w:hAnsi="KaiTi" w:eastAsia="KaiTi" w:cs="KaiTi"/>
          <w:sz w:val="22"/>
          <w:szCs w:val="22"/>
          <w:spacing w:val="-7"/>
        </w:rPr>
        <w:t xml:space="preserve"> </w:t>
      </w:r>
      <w:r>
        <w:rPr>
          <w:rFonts w:ascii="KaiTi" w:hAnsi="KaiTi" w:eastAsia="KaiTi" w:cs="KaiTi"/>
          <w:sz w:val="22"/>
          <w:szCs w:val="22"/>
          <w:spacing w:val="-7"/>
        </w:rPr>
        <w:t>6</w:t>
      </w:r>
      <w:r>
        <w:rPr>
          <w:rFonts w:ascii="KaiTi" w:hAnsi="KaiTi" w:eastAsia="KaiTi" w:cs="KaiTi"/>
          <w:sz w:val="22"/>
          <w:szCs w:val="22"/>
          <w:spacing w:val="28"/>
        </w:rPr>
        <w:t xml:space="preserve"> </w:t>
      </w:r>
      <w:r>
        <w:rPr>
          <w:rFonts w:ascii="KaiTi" w:hAnsi="KaiTi" w:eastAsia="KaiTi" w:cs="KaiTi"/>
          <w:sz w:val="22"/>
          <w:szCs w:val="22"/>
          <w:spacing w:val="-7"/>
        </w:rPr>
        <w:t>页</w:t>
      </w:r>
    </w:p>
    <w:p>
      <w:pPr>
        <w:sectPr>
          <w:pgSz w:w="11900" w:h="16830"/>
          <w:pgMar w:top="1132" w:right="1119" w:bottom="0" w:left="1250" w:header="0" w:footer="0" w:gutter="0"/>
        </w:sectPr>
        <w:rPr>
          <w:rFonts w:ascii="KaiTi" w:hAnsi="KaiTi" w:eastAsia="KaiTi" w:cs="KaiTi"/>
          <w:sz w:val="22"/>
          <w:szCs w:val="22"/>
        </w:rPr>
      </w:pPr>
    </w:p>
    <w:p>
      <w:pPr>
        <w:ind w:left="2568" w:right="218" w:hanging="2379"/>
        <w:spacing w:before="80" w:line="232" w:lineRule="auto"/>
        <w:rPr>
          <w:rFonts w:ascii="SimHei" w:hAnsi="SimHei" w:eastAsia="SimHei" w:cs="SimHei"/>
          <w:sz w:val="40"/>
          <w:szCs w:val="40"/>
        </w:rPr>
      </w:pPr>
      <w:r>
        <w:rPr>
          <w:rFonts w:ascii="SimHei" w:hAnsi="SimHei" w:eastAsia="SimHei" w:cs="SimHei"/>
          <w:sz w:val="40"/>
          <w:szCs w:val="40"/>
          <w:spacing w:val="-1"/>
        </w:rPr>
        <w:t>集美大学推荐优秀应届本科毕业生免试攻读硕士学</w:t>
      </w:r>
      <w:r>
        <w:rPr>
          <w:rFonts w:ascii="SimHei" w:hAnsi="SimHei" w:eastAsia="SimHei" w:cs="SimHei"/>
          <w:sz w:val="40"/>
          <w:szCs w:val="40"/>
          <w:spacing w:val="2"/>
        </w:rPr>
        <w:t xml:space="preserve"> </w:t>
      </w:r>
      <w:r>
        <w:rPr>
          <w:rFonts w:ascii="SimHei" w:hAnsi="SimHei" w:eastAsia="SimHei" w:cs="SimHei"/>
          <w:sz w:val="40"/>
          <w:szCs w:val="40"/>
          <w:spacing w:val="-2"/>
        </w:rPr>
        <w:t>位研究生工作实施办法</w:t>
      </w:r>
    </w:p>
    <w:p>
      <w:pPr>
        <w:pStyle w:val="BodyText"/>
        <w:ind w:left="5107"/>
        <w:spacing w:before="140" w:line="219" w:lineRule="auto"/>
        <w:rPr>
          <w:rFonts w:ascii="Times New Roman" w:hAnsi="Times New Roman" w:eastAsia="Times New Roman" w:cs="Times New Roman"/>
          <w:sz w:val="20"/>
          <w:szCs w:val="20"/>
        </w:rPr>
      </w:pPr>
      <w:r>
        <w:drawing>
          <wp:anchor distT="0" distB="0" distL="0" distR="0" simplePos="0" relativeHeight="251659264" behindDoc="0" locked="0" layoutInCell="1" allowOverlap="1">
            <wp:simplePos x="0" y="0"/>
            <wp:positionH relativeFrom="column">
              <wp:posOffset>0</wp:posOffset>
            </wp:positionH>
            <wp:positionV relativeFrom="paragraph">
              <wp:posOffset>219293</wp:posOffset>
            </wp:positionV>
            <wp:extent cx="5598193" cy="6350"/>
            <wp:effectExtent l="0" t="0" r="0" b="0"/>
            <wp:wrapNone/>
            <wp:docPr id="6" name="IM 6"/>
            <wp:cNvGraphicFramePr/>
            <a:graphic>
              <a:graphicData uri="http://schemas.openxmlformats.org/drawingml/2006/picture">
                <pic:pic>
                  <pic:nvPicPr>
                    <pic:cNvPr id="6" name="IM 6"/>
                    <pic:cNvPicPr/>
                  </pic:nvPicPr>
                  <pic:blipFill>
                    <a:blip r:embed="rId3"/>
                    <a:stretch>
                      <a:fillRect/>
                    </a:stretch>
                  </pic:blipFill>
                  <pic:spPr>
                    <a:xfrm rot="0">
                      <a:off x="0" y="0"/>
                      <a:ext cx="5598193" cy="6350"/>
                    </a:xfrm>
                    <a:prstGeom prst="rect">
                      <a:avLst/>
                    </a:prstGeom>
                  </pic:spPr>
                </pic:pic>
              </a:graphicData>
            </a:graphic>
          </wp:anchor>
        </w:drawing>
      </w:r>
      <w:r>
        <w:rPr>
          <w:sz w:val="20"/>
          <w:szCs w:val="20"/>
          <w:spacing w:val="-4"/>
        </w:rPr>
        <w:t>文</w:t>
      </w:r>
      <w:r>
        <w:rPr>
          <w:sz w:val="20"/>
          <w:szCs w:val="20"/>
          <w:spacing w:val="51"/>
        </w:rPr>
        <w:t xml:space="preserve"> </w:t>
      </w:r>
      <w:r>
        <w:rPr>
          <w:sz w:val="20"/>
          <w:szCs w:val="20"/>
          <w:spacing w:val="-4"/>
        </w:rPr>
        <w:t>件</w:t>
      </w:r>
      <w:r>
        <w:rPr>
          <w:sz w:val="20"/>
          <w:szCs w:val="20"/>
          <w:spacing w:val="53"/>
        </w:rPr>
        <w:t xml:space="preserve"> </w:t>
      </w:r>
      <w:r>
        <w:rPr>
          <w:sz w:val="20"/>
          <w:szCs w:val="20"/>
          <w:spacing w:val="-4"/>
        </w:rPr>
        <w:t>编</w:t>
      </w:r>
      <w:r>
        <w:rPr>
          <w:sz w:val="20"/>
          <w:szCs w:val="20"/>
          <w:spacing w:val="57"/>
        </w:rPr>
        <w:t xml:space="preserve"> </w:t>
      </w:r>
      <w:r>
        <w:rPr>
          <w:sz w:val="20"/>
          <w:szCs w:val="20"/>
          <w:spacing w:val="-4"/>
        </w:rPr>
        <w:t>号</w:t>
      </w:r>
      <w:r>
        <w:rPr>
          <w:sz w:val="20"/>
          <w:szCs w:val="20"/>
          <w:spacing w:val="69"/>
        </w:rPr>
        <w:t xml:space="preserve"> </w:t>
      </w:r>
      <w:r>
        <w:rPr>
          <w:sz w:val="20"/>
          <w:szCs w:val="20"/>
          <w:spacing w:val="-4"/>
        </w:rPr>
        <w:t>：</w:t>
      </w:r>
      <w:r>
        <w:rPr>
          <w:rFonts w:ascii="Times New Roman" w:hAnsi="Times New Roman" w:eastAsia="Times New Roman" w:cs="Times New Roman"/>
          <w:sz w:val="20"/>
          <w:szCs w:val="20"/>
          <w:spacing w:val="-4"/>
        </w:rPr>
        <w:t>J   D   0   4</w:t>
      </w:r>
      <w:r>
        <w:rPr>
          <w:rFonts w:ascii="Times New Roman" w:hAnsi="Times New Roman" w:eastAsia="Times New Roman" w:cs="Times New Roman"/>
          <w:sz w:val="20"/>
          <w:szCs w:val="20"/>
          <w:spacing w:val="24"/>
          <w:w w:val="101"/>
        </w:rPr>
        <w:t xml:space="preserve">  </w:t>
      </w:r>
      <w:r>
        <w:rPr>
          <w:rFonts w:ascii="Times New Roman" w:hAnsi="Times New Roman" w:eastAsia="Times New Roman" w:cs="Times New Roman"/>
          <w:sz w:val="20"/>
          <w:szCs w:val="20"/>
          <w:spacing w:val="-4"/>
        </w:rPr>
        <w:t>J   W</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spacing w:val="-4"/>
        </w:rPr>
        <w:t>0</w:t>
      </w:r>
      <w:r>
        <w:rPr>
          <w:rFonts w:ascii="Times New Roman" w:hAnsi="Times New Roman" w:eastAsia="Times New Roman" w:cs="Times New Roman"/>
          <w:sz w:val="20"/>
          <w:szCs w:val="20"/>
          <w:spacing w:val="24"/>
          <w:w w:val="101"/>
        </w:rPr>
        <w:t xml:space="preserve">  </w:t>
      </w:r>
      <w:r>
        <w:rPr>
          <w:rFonts w:ascii="Times New Roman" w:hAnsi="Times New Roman" w:eastAsia="Times New Roman" w:cs="Times New Roman"/>
          <w:sz w:val="20"/>
          <w:szCs w:val="20"/>
          <w:spacing w:val="-4"/>
        </w:rPr>
        <w:t>2</w:t>
      </w:r>
      <w:r>
        <w:rPr>
          <w:rFonts w:ascii="Times New Roman" w:hAnsi="Times New Roman" w:eastAsia="Times New Roman" w:cs="Times New Roman"/>
          <w:sz w:val="20"/>
          <w:szCs w:val="20"/>
          <w:spacing w:val="6"/>
        </w:rPr>
        <w:t xml:space="preserve">   </w:t>
      </w:r>
      <w:r>
        <w:rPr>
          <w:rFonts w:ascii="Times New Roman" w:hAnsi="Times New Roman" w:eastAsia="Times New Roman" w:cs="Times New Roman"/>
          <w:sz w:val="20"/>
          <w:szCs w:val="20"/>
          <w:spacing w:val="-4"/>
        </w:rPr>
        <w:t>1</w:t>
      </w:r>
    </w:p>
    <w:p>
      <w:pPr>
        <w:pStyle w:val="BodyText"/>
        <w:spacing w:before="83" w:line="219" w:lineRule="auto"/>
        <w:rPr/>
      </w:pPr>
      <w:r>
        <w:rPr>
          <w:spacing w:val="-21"/>
        </w:rPr>
        <w:t>质和特殊学术专长、近三年平均升学率、应届本科生毕业率等；</w:t>
      </w:r>
    </w:p>
    <w:p>
      <w:pPr>
        <w:pStyle w:val="BodyText"/>
        <w:ind w:right="116" w:firstLine="609"/>
        <w:spacing w:before="111" w:line="254" w:lineRule="auto"/>
        <w:rPr>
          <w:sz w:val="25"/>
          <w:szCs w:val="25"/>
        </w:rPr>
      </w:pPr>
      <w:r>
        <w:rPr>
          <w:sz w:val="25"/>
          <w:szCs w:val="25"/>
          <w:spacing w:val="-8"/>
        </w:rPr>
        <w:t>(四)根据本科教育教学管理和建设情况作适当增减，包括日常教学运行、一流专</w:t>
      </w:r>
      <w:r>
        <w:rPr>
          <w:sz w:val="25"/>
          <w:szCs w:val="25"/>
        </w:rPr>
        <w:t xml:space="preserve"> </w:t>
      </w:r>
      <w:r>
        <w:rPr>
          <w:sz w:val="25"/>
          <w:szCs w:val="25"/>
          <w:spacing w:val="-11"/>
        </w:rPr>
        <w:t>业、一流课程、专业认证、教学成果奖、教育部毕业论文抽查结果等情</w:t>
      </w:r>
      <w:r>
        <w:rPr>
          <w:sz w:val="25"/>
          <w:szCs w:val="25"/>
          <w:spacing w:val="-12"/>
        </w:rPr>
        <w:t>况；</w:t>
      </w:r>
    </w:p>
    <w:p>
      <w:pPr>
        <w:pStyle w:val="BodyText"/>
        <w:ind w:right="118" w:firstLine="609"/>
        <w:spacing w:before="83" w:line="244" w:lineRule="auto"/>
        <w:rPr>
          <w:rFonts w:ascii="SimHei" w:hAnsi="SimHei" w:eastAsia="SimHei" w:cs="SimHei"/>
        </w:rPr>
      </w:pPr>
      <w:r>
        <w:rPr>
          <w:spacing w:val="-18"/>
        </w:rPr>
        <w:t>(五)各学院上一年度完成学校下达推免生指标的执行情况，如推免生违反承诺将</w:t>
      </w:r>
      <w:r>
        <w:rPr>
          <w:spacing w:val="8"/>
        </w:rPr>
        <w:t xml:space="preserve"> </w:t>
      </w:r>
      <w:r>
        <w:rPr>
          <w:rFonts w:ascii="SimHei" w:hAnsi="SimHei" w:eastAsia="SimHei" w:cs="SimHei"/>
          <w:spacing w:val="-21"/>
        </w:rPr>
        <w:t>作适当扣减；</w:t>
      </w:r>
    </w:p>
    <w:p>
      <w:pPr>
        <w:pStyle w:val="BodyText"/>
        <w:ind w:left="609"/>
        <w:spacing w:before="121" w:line="219" w:lineRule="auto"/>
        <w:rPr/>
      </w:pPr>
      <w:r>
        <w:rPr>
          <w:spacing w:val="-15"/>
        </w:rPr>
        <w:t>(六)各学院上一年度推免生保送本校情况；</w:t>
      </w:r>
    </w:p>
    <w:p>
      <w:pPr>
        <w:pStyle w:val="BodyText"/>
        <w:ind w:left="489" w:right="1279" w:firstLine="120"/>
        <w:spacing w:before="94" w:line="248" w:lineRule="auto"/>
        <w:rPr/>
      </w:pPr>
      <w:r>
        <w:rPr>
          <w:spacing w:val="-16"/>
        </w:rPr>
        <w:t>(七)每年根据教育部等上级有关文件要求重点支持的相关</w:t>
      </w:r>
      <w:r>
        <w:rPr>
          <w:spacing w:val="-17"/>
        </w:rPr>
        <w:t>学科专业。</w:t>
      </w:r>
      <w:r>
        <w:rPr/>
        <w:t xml:space="preserve"> </w:t>
      </w:r>
      <w:r>
        <w:rPr>
          <w:spacing w:val="-20"/>
        </w:rPr>
        <w:t>截至规定时间，学院未使用的推免生名额由学校收回并重新分配。</w:t>
      </w:r>
    </w:p>
    <w:p>
      <w:pPr>
        <w:spacing w:line="412" w:lineRule="auto"/>
        <w:rPr>
          <w:rFonts w:ascii="Arial"/>
          <w:sz w:val="21"/>
        </w:rPr>
      </w:pPr>
      <w:r/>
    </w:p>
    <w:p>
      <w:pPr>
        <w:ind w:left="3479"/>
        <w:spacing w:before="85" w:line="222" w:lineRule="auto"/>
        <w:rPr>
          <w:rFonts w:ascii="SimHei" w:hAnsi="SimHei" w:eastAsia="SimHei" w:cs="SimHei"/>
          <w:sz w:val="26"/>
          <w:szCs w:val="26"/>
        </w:rPr>
      </w:pPr>
      <w:r>
        <w:rPr>
          <w:rFonts w:ascii="SimHei" w:hAnsi="SimHei" w:eastAsia="SimHei" w:cs="SimHei"/>
          <w:sz w:val="26"/>
          <w:szCs w:val="26"/>
          <w:spacing w:val="12"/>
        </w:rPr>
        <w:t>第四章推免生条件</w:t>
      </w:r>
    </w:p>
    <w:p>
      <w:pPr>
        <w:pStyle w:val="BodyText"/>
        <w:ind w:left="489"/>
        <w:spacing w:before="87" w:line="219" w:lineRule="auto"/>
        <w:rPr/>
      </w:pPr>
      <w:r>
        <w:rPr>
          <w:spacing w:val="-16"/>
        </w:rPr>
        <w:t>第八条纳入国家普通本科招生计划录取的集美大学应届毕业生。</w:t>
      </w:r>
    </w:p>
    <w:p>
      <w:pPr>
        <w:pStyle w:val="BodyText"/>
        <w:ind w:left="489"/>
        <w:spacing w:before="94" w:line="219" w:lineRule="auto"/>
        <w:rPr/>
      </w:pPr>
      <w:r>
        <w:rPr>
          <w:spacing w:val="-14"/>
        </w:rPr>
        <w:t>第九条思想品德条件、身体条件和心理素质条件</w:t>
      </w:r>
    </w:p>
    <w:p>
      <w:pPr>
        <w:pStyle w:val="BodyText"/>
        <w:ind w:right="117" w:firstLine="609"/>
        <w:spacing w:before="91" w:line="251" w:lineRule="auto"/>
        <w:rPr/>
      </w:pPr>
      <w:r>
        <w:rPr>
          <w:spacing w:val="-18"/>
        </w:rPr>
        <w:t>(一)拥护党的领导，具有高尚的爱国主义情操和集体主义精神，社会主义信念坚</w:t>
      </w:r>
      <w:r>
        <w:rPr>
          <w:spacing w:val="9"/>
        </w:rPr>
        <w:t xml:space="preserve"> </w:t>
      </w:r>
      <w:r>
        <w:rPr>
          <w:spacing w:val="-21"/>
        </w:rPr>
        <w:t>定，社会责任感强，遵纪守法，积极向上，德智体美劳全面发展；</w:t>
      </w:r>
    </w:p>
    <w:p>
      <w:pPr>
        <w:pStyle w:val="BodyText"/>
        <w:ind w:left="609"/>
        <w:spacing w:before="93" w:line="219" w:lineRule="auto"/>
        <w:rPr/>
      </w:pPr>
      <w:r>
        <w:rPr>
          <w:spacing w:val="-17"/>
        </w:rPr>
        <w:t>(二)诚实守信，学风端正，无任何考试作弊和剽窃他人学术成果记录；</w:t>
      </w:r>
    </w:p>
    <w:p>
      <w:pPr>
        <w:pStyle w:val="BodyText"/>
        <w:ind w:left="609"/>
        <w:spacing w:before="82" w:line="219" w:lineRule="auto"/>
        <w:rPr/>
      </w:pPr>
      <w:r>
        <w:rPr>
          <w:spacing w:val="-13"/>
        </w:rPr>
        <w:t>(三)无任何违法违纪受处分记录；</w:t>
      </w:r>
    </w:p>
    <w:p>
      <w:pPr>
        <w:pStyle w:val="BodyText"/>
        <w:ind w:left="609"/>
        <w:spacing w:before="100" w:line="219" w:lineRule="auto"/>
        <w:rPr/>
      </w:pPr>
      <w:r>
        <w:rPr>
          <w:spacing w:val="-15"/>
        </w:rPr>
        <w:t>(四)身心健康，符合报考研究生的体检要求；</w:t>
      </w:r>
    </w:p>
    <w:p>
      <w:pPr>
        <w:pStyle w:val="BodyText"/>
        <w:ind w:firstLine="609"/>
        <w:spacing w:before="94" w:line="257" w:lineRule="auto"/>
        <w:rPr/>
      </w:pPr>
      <w:r>
        <w:rPr>
          <w:spacing w:val="-21"/>
        </w:rPr>
        <w:t>(五)学生思想品德考核由党委学生工作部负责，注重对学生政治态度、</w:t>
      </w:r>
      <w:r>
        <w:rPr>
          <w:spacing w:val="-22"/>
        </w:rPr>
        <w:t>思想表现、</w:t>
      </w:r>
      <w:r>
        <w:rPr/>
        <w:t xml:space="preserve"> </w:t>
      </w:r>
      <w:r>
        <w:rPr>
          <w:spacing w:val="-21"/>
        </w:rPr>
        <w:t>道德品质、科学精神、诚实守信、遵纪守法等方面的考查，思想品</w:t>
      </w:r>
      <w:r>
        <w:rPr>
          <w:spacing w:val="-22"/>
        </w:rPr>
        <w:t>德考核不合格者不予</w:t>
      </w:r>
      <w:r>
        <w:rPr/>
        <w:t xml:space="preserve">  </w:t>
      </w:r>
      <w:r>
        <w:rPr>
          <w:spacing w:val="-11"/>
        </w:rPr>
        <w:t>推荐。</w:t>
      </w:r>
    </w:p>
    <w:p>
      <w:pPr>
        <w:spacing w:line="413" w:lineRule="auto"/>
        <w:rPr>
          <w:rFonts w:ascii="Arial"/>
          <w:sz w:val="21"/>
        </w:rPr>
      </w:pPr>
      <w:r/>
    </w:p>
    <w:p>
      <w:pPr>
        <w:ind w:left="3639"/>
        <w:spacing w:before="85" w:line="221" w:lineRule="auto"/>
        <w:rPr>
          <w:rFonts w:ascii="SimHei" w:hAnsi="SimHei" w:eastAsia="SimHei" w:cs="SimHei"/>
          <w:sz w:val="26"/>
          <w:szCs w:val="26"/>
        </w:rPr>
      </w:pPr>
      <w:r>
        <w:rPr>
          <w:rFonts w:ascii="SimHei" w:hAnsi="SimHei" w:eastAsia="SimHei" w:cs="SimHei"/>
          <w:sz w:val="26"/>
          <w:szCs w:val="26"/>
          <w:spacing w:val="1"/>
        </w:rPr>
        <w:t>第十条学业条件</w:t>
      </w:r>
    </w:p>
    <w:p>
      <w:pPr>
        <w:pStyle w:val="BodyText"/>
        <w:ind w:left="609"/>
        <w:spacing w:before="111" w:line="219" w:lineRule="auto"/>
        <w:rPr/>
      </w:pPr>
      <w:r>
        <w:rPr>
          <w:spacing w:val="1"/>
        </w:rPr>
        <w:t>(一)成绩优良</w:t>
      </w:r>
    </w:p>
    <w:p>
      <w:pPr>
        <w:pStyle w:val="BodyText"/>
        <w:ind w:right="111" w:firstLine="489"/>
        <w:spacing w:before="79" w:line="283" w:lineRule="auto"/>
        <w:jc w:val="both"/>
        <w:rPr>
          <w:rFonts w:ascii="SimHei" w:hAnsi="SimHei" w:eastAsia="SimHei" w:cs="SimHei"/>
        </w:rPr>
      </w:pPr>
      <w:r>
        <w:rPr>
          <w:spacing w:val="-22"/>
        </w:rPr>
        <w:t>勤奋学习，刻苦钻研，成绩优秀；学术研究兴趣浓厚，有较强的创新意识、科研创</w:t>
      </w:r>
      <w:r>
        <w:rPr>
          <w:spacing w:val="18"/>
        </w:rPr>
        <w:t xml:space="preserve"> </w:t>
      </w:r>
      <w:r>
        <w:rPr>
          <w:spacing w:val="-18"/>
        </w:rPr>
        <w:t>新能力和专业能力。修完前6学期培养方案内规定的课程并获得学分，且学习总成绩的</w:t>
      </w:r>
      <w:r>
        <w:rPr>
          <w:spacing w:val="11"/>
        </w:rPr>
        <w:t xml:space="preserve"> </w:t>
      </w:r>
      <w:r>
        <w:rPr>
          <w:spacing w:val="-15"/>
        </w:rPr>
        <w:t>平均学分绩点(不含通识教育选修课程、跨学科门类课程)排名要求在本专业同年级排</w:t>
      </w:r>
      <w:r>
        <w:rPr>
          <w:spacing w:val="18"/>
        </w:rPr>
        <w:t xml:space="preserve"> </w:t>
      </w:r>
      <w:r>
        <w:rPr>
          <w:spacing w:val="-14"/>
        </w:rPr>
        <w:t>名前30%以内，且前6学期不能有补考或重新学习，所有课程成绩按第一次</w:t>
      </w:r>
      <w:r>
        <w:rPr>
          <w:spacing w:val="-15"/>
        </w:rPr>
        <w:t>考试成绩计</w:t>
      </w:r>
      <w:r>
        <w:rPr/>
        <w:t xml:space="preserve"> </w:t>
      </w:r>
      <w:r>
        <w:rPr>
          <w:rFonts w:ascii="SimHei" w:hAnsi="SimHei" w:eastAsia="SimHei" w:cs="SimHei"/>
          <w:spacing w:val="-11"/>
        </w:rPr>
        <w:t>算。</w:t>
      </w:r>
    </w:p>
    <w:p>
      <w:pPr>
        <w:pStyle w:val="BodyText"/>
        <w:ind w:left="609"/>
        <w:spacing w:line="219" w:lineRule="auto"/>
        <w:rPr/>
      </w:pPr>
      <w:r>
        <w:rPr>
          <w:spacing w:val="-15"/>
        </w:rPr>
        <w:t>(二)外语水平良好，在校期间外语成绩要求：</w:t>
      </w:r>
    </w:p>
    <w:p>
      <w:pPr>
        <w:pStyle w:val="BodyText"/>
        <w:ind w:right="389" w:firstLine="489"/>
        <w:spacing w:before="83" w:line="258" w:lineRule="auto"/>
        <w:rPr/>
      </w:pPr>
      <w:r>
        <w:rPr>
          <w:spacing w:val="-9"/>
        </w:rPr>
        <w:t>1.非</w:t>
      </w:r>
      <w:r>
        <w:rPr>
          <w:rFonts w:ascii="SimHei" w:hAnsi="SimHei" w:eastAsia="SimHei" w:cs="SimHei"/>
          <w:spacing w:val="-9"/>
        </w:rPr>
        <w:t>外语专业(不含术科专业)大学英语(</w:t>
      </w:r>
      <w:r>
        <w:rPr>
          <w:rFonts w:ascii="SimHei" w:hAnsi="SimHei" w:eastAsia="SimHei" w:cs="SimHei"/>
          <w:spacing w:val="-61"/>
        </w:rPr>
        <w:t xml:space="preserve"> </w:t>
      </w:r>
      <w:r>
        <w:rPr>
          <w:rFonts w:ascii="Arial" w:hAnsi="Arial" w:eastAsia="Arial" w:cs="Arial"/>
          <w:spacing w:val="-9"/>
        </w:rPr>
        <w:t>CET) </w:t>
      </w:r>
      <w:r>
        <w:rPr>
          <w:rFonts w:ascii="SimHei" w:hAnsi="SimHei" w:eastAsia="SimHei" w:cs="SimHei"/>
          <w:spacing w:val="-9"/>
        </w:rPr>
        <w:t>四级成绩&gt;48</w:t>
      </w:r>
      <w:r>
        <w:rPr>
          <w:rFonts w:ascii="SimHei" w:hAnsi="SimHei" w:eastAsia="SimHei" w:cs="SimHei"/>
          <w:spacing w:val="-10"/>
        </w:rPr>
        <w:t>0分，或六级成绩</w:t>
      </w:r>
      <w:r>
        <w:rPr>
          <w:rFonts w:ascii="SimHei" w:hAnsi="SimHei" w:eastAsia="SimHei" w:cs="SimHei"/>
        </w:rPr>
        <w:t xml:space="preserve"> </w:t>
      </w:r>
      <w:r>
        <w:rPr>
          <w:spacing w:val="10"/>
        </w:rPr>
        <w:t>400分；或托福成绩&gt;80分(两年有效)或雅思</w:t>
      </w:r>
      <w:r>
        <w:rPr>
          <w:spacing w:val="9"/>
        </w:rPr>
        <w:t>(学术类)≥5.5分(两年有效);</w:t>
      </w:r>
    </w:p>
    <w:p>
      <w:pPr>
        <w:pStyle w:val="BodyText"/>
        <w:ind w:left="198"/>
        <w:spacing w:before="101" w:line="177" w:lineRule="auto"/>
        <w:rPr/>
      </w:pPr>
      <w:r>
        <w:rPr>
          <w:spacing w:val="51"/>
        </w:rPr>
        <w:t>2</w:t>
      </w:r>
      <w:r>
        <w:rPr>
          <w:spacing w:val="-55"/>
        </w:rPr>
        <w:t xml:space="preserve"> </w:t>
      </w:r>
      <w:r>
        <w:rPr>
          <w:spacing w:val="51"/>
        </w:rPr>
        <w:t>.</w:t>
      </w:r>
      <w:r>
        <w:rPr>
          <w:spacing w:val="-62"/>
        </w:rPr>
        <w:t xml:space="preserve"> </w:t>
      </w:r>
      <w:r>
        <w:rPr>
          <w:spacing w:val="51"/>
        </w:rPr>
        <w:t>术科专业要求大学英语(</w:t>
      </w:r>
      <w:r>
        <w:rPr/>
        <w:t>CET</w:t>
      </w:r>
      <w:r>
        <w:rPr>
          <w:spacing w:val="51"/>
        </w:rPr>
        <w:t>)四级成绩380分；</w:t>
      </w:r>
    </w:p>
    <w:p>
      <w:pPr>
        <w:spacing w:line="177" w:lineRule="auto"/>
        <w:sectPr>
          <w:footerReference w:type="default" r:id="rId2"/>
          <w:pgSz w:w="11900" w:h="16830"/>
          <w:pgMar w:top="1132" w:right="1339" w:bottom="1480" w:left="1370" w:header="0" w:footer="1121" w:gutter="0"/>
        </w:sectPr>
        <w:rPr/>
      </w:pPr>
    </w:p>
    <w:p>
      <w:pPr>
        <w:ind w:left="2567" w:right="188" w:hanging="2379"/>
        <w:spacing w:before="80" w:line="232" w:lineRule="auto"/>
        <w:rPr>
          <w:rFonts w:ascii="SimHei" w:hAnsi="SimHei" w:eastAsia="SimHei" w:cs="SimHei"/>
          <w:sz w:val="40"/>
          <w:szCs w:val="40"/>
        </w:rPr>
      </w:pPr>
      <w:r>
        <w:rPr>
          <w:rFonts w:ascii="SimHei" w:hAnsi="SimHei" w:eastAsia="SimHei" w:cs="SimHei"/>
          <w:sz w:val="40"/>
          <w:szCs w:val="40"/>
          <w:spacing w:val="-1"/>
        </w:rPr>
        <w:t>集美大学推荐优秀应届本科毕业生免试攻读硕士学</w:t>
      </w:r>
      <w:r>
        <w:rPr>
          <w:rFonts w:ascii="SimHei" w:hAnsi="SimHei" w:eastAsia="SimHei" w:cs="SimHei"/>
          <w:sz w:val="40"/>
          <w:szCs w:val="40"/>
          <w:spacing w:val="2"/>
        </w:rPr>
        <w:t xml:space="preserve"> </w:t>
      </w:r>
      <w:r>
        <w:rPr>
          <w:rFonts w:ascii="SimHei" w:hAnsi="SimHei" w:eastAsia="SimHei" w:cs="SimHei"/>
          <w:sz w:val="40"/>
          <w:szCs w:val="40"/>
          <w:spacing w:val="1"/>
        </w:rPr>
        <w:t>位研究生工作实施办法</w:t>
      </w:r>
    </w:p>
    <w:p>
      <w:pPr>
        <w:pStyle w:val="BodyText"/>
        <w:ind w:left="5109"/>
        <w:spacing w:before="140" w:line="219" w:lineRule="auto"/>
        <w:rPr>
          <w:rFonts w:ascii="Times New Roman" w:hAnsi="Times New Roman" w:eastAsia="Times New Roman" w:cs="Times New Roman"/>
          <w:sz w:val="20"/>
          <w:szCs w:val="20"/>
        </w:rPr>
      </w:pPr>
      <w:r>
        <w:drawing>
          <wp:anchor distT="0" distB="0" distL="0" distR="0" simplePos="0" relativeHeight="251660288" behindDoc="0" locked="0" layoutInCell="1" allowOverlap="1">
            <wp:simplePos x="0" y="0"/>
            <wp:positionH relativeFrom="column">
              <wp:posOffset>5461</wp:posOffset>
            </wp:positionH>
            <wp:positionV relativeFrom="paragraph">
              <wp:posOffset>219293</wp:posOffset>
            </wp:positionV>
            <wp:extent cx="5592161" cy="6350"/>
            <wp:effectExtent l="0" t="0" r="0" b="0"/>
            <wp:wrapNone/>
            <wp:docPr id="10" name="IM 10"/>
            <wp:cNvGraphicFramePr/>
            <a:graphic>
              <a:graphicData uri="http://schemas.openxmlformats.org/drawingml/2006/picture">
                <pic:pic>
                  <pic:nvPicPr>
                    <pic:cNvPr id="10" name="IM 10"/>
                    <pic:cNvPicPr/>
                  </pic:nvPicPr>
                  <pic:blipFill>
                    <a:blip r:embed="rId5"/>
                    <a:stretch>
                      <a:fillRect/>
                    </a:stretch>
                  </pic:blipFill>
                  <pic:spPr>
                    <a:xfrm rot="0">
                      <a:off x="0" y="0"/>
                      <a:ext cx="5592161" cy="6350"/>
                    </a:xfrm>
                    <a:prstGeom prst="rect">
                      <a:avLst/>
                    </a:prstGeom>
                  </pic:spPr>
                </pic:pic>
              </a:graphicData>
            </a:graphic>
          </wp:anchor>
        </w:drawing>
      </w:r>
      <w:r>
        <w:rPr>
          <w:sz w:val="20"/>
          <w:szCs w:val="20"/>
          <w:spacing w:val="-4"/>
        </w:rPr>
        <w:t>文</w:t>
      </w:r>
      <w:r>
        <w:rPr>
          <w:sz w:val="20"/>
          <w:szCs w:val="20"/>
          <w:spacing w:val="51"/>
        </w:rPr>
        <w:t xml:space="preserve"> </w:t>
      </w:r>
      <w:r>
        <w:rPr>
          <w:sz w:val="20"/>
          <w:szCs w:val="20"/>
          <w:spacing w:val="-4"/>
        </w:rPr>
        <w:t>件</w:t>
      </w:r>
      <w:r>
        <w:rPr>
          <w:sz w:val="20"/>
          <w:szCs w:val="20"/>
          <w:spacing w:val="54"/>
        </w:rPr>
        <w:t xml:space="preserve"> </w:t>
      </w:r>
      <w:r>
        <w:rPr>
          <w:sz w:val="20"/>
          <w:szCs w:val="20"/>
          <w:spacing w:val="-4"/>
        </w:rPr>
        <w:t>编</w:t>
      </w:r>
      <w:r>
        <w:rPr>
          <w:sz w:val="20"/>
          <w:szCs w:val="20"/>
          <w:spacing w:val="56"/>
        </w:rPr>
        <w:t xml:space="preserve"> </w:t>
      </w:r>
      <w:r>
        <w:rPr>
          <w:sz w:val="20"/>
          <w:szCs w:val="20"/>
          <w:spacing w:val="-4"/>
        </w:rPr>
        <w:t>号</w:t>
      </w:r>
      <w:r>
        <w:rPr>
          <w:sz w:val="20"/>
          <w:szCs w:val="20"/>
          <w:spacing w:val="69"/>
        </w:rPr>
        <w:t xml:space="preserve"> </w:t>
      </w:r>
      <w:r>
        <w:rPr>
          <w:sz w:val="20"/>
          <w:szCs w:val="20"/>
          <w:spacing w:val="-4"/>
        </w:rPr>
        <w:t>：</w:t>
      </w:r>
      <w:r>
        <w:rPr>
          <w:rFonts w:ascii="Times New Roman" w:hAnsi="Times New Roman" w:eastAsia="Times New Roman" w:cs="Times New Roman"/>
          <w:sz w:val="20"/>
          <w:szCs w:val="20"/>
          <w:spacing w:val="-4"/>
        </w:rPr>
        <w:t>J   D   0   4   J</w:t>
      </w:r>
      <w:r>
        <w:rPr>
          <w:rFonts w:ascii="Times New Roman" w:hAnsi="Times New Roman" w:eastAsia="Times New Roman" w:cs="Times New Roman"/>
          <w:sz w:val="20"/>
          <w:szCs w:val="20"/>
          <w:spacing w:val="23"/>
          <w:w w:val="101"/>
        </w:rPr>
        <w:t xml:space="preserve">  </w:t>
      </w:r>
      <w:r>
        <w:rPr>
          <w:rFonts w:ascii="Times New Roman" w:hAnsi="Times New Roman" w:eastAsia="Times New Roman" w:cs="Times New Roman"/>
          <w:sz w:val="20"/>
          <w:szCs w:val="20"/>
          <w:spacing w:val="-4"/>
        </w:rPr>
        <w:t>W</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spacing w:val="-4"/>
        </w:rPr>
        <w:t>0</w:t>
      </w:r>
      <w:r>
        <w:rPr>
          <w:rFonts w:ascii="Times New Roman" w:hAnsi="Times New Roman" w:eastAsia="Times New Roman" w:cs="Times New Roman"/>
          <w:sz w:val="20"/>
          <w:szCs w:val="20"/>
          <w:spacing w:val="24"/>
          <w:w w:val="101"/>
        </w:rPr>
        <w:t xml:space="preserve">  </w:t>
      </w:r>
      <w:r>
        <w:rPr>
          <w:rFonts w:ascii="Times New Roman" w:hAnsi="Times New Roman" w:eastAsia="Times New Roman" w:cs="Times New Roman"/>
          <w:sz w:val="20"/>
          <w:szCs w:val="20"/>
          <w:spacing w:val="-4"/>
        </w:rPr>
        <w:t>2</w:t>
      </w:r>
      <w:r>
        <w:rPr>
          <w:rFonts w:ascii="Times New Roman" w:hAnsi="Times New Roman" w:eastAsia="Times New Roman" w:cs="Times New Roman"/>
          <w:sz w:val="20"/>
          <w:szCs w:val="20"/>
          <w:spacing w:val="5"/>
        </w:rPr>
        <w:t xml:space="preserve">   </w:t>
      </w:r>
      <w:r>
        <w:rPr>
          <w:rFonts w:ascii="Times New Roman" w:hAnsi="Times New Roman" w:eastAsia="Times New Roman" w:cs="Times New Roman"/>
          <w:sz w:val="20"/>
          <w:szCs w:val="20"/>
          <w:spacing w:val="-4"/>
        </w:rPr>
        <w:t>1</w:t>
      </w:r>
    </w:p>
    <w:p>
      <w:pPr>
        <w:pStyle w:val="BodyText"/>
        <w:ind w:left="8" w:right="54" w:firstLine="479"/>
        <w:spacing w:before="71" w:line="253" w:lineRule="auto"/>
        <w:rPr/>
      </w:pPr>
      <w:r>
        <w:rPr>
          <w:rFonts w:ascii="Times New Roman" w:hAnsi="Times New Roman" w:eastAsia="Times New Roman" w:cs="Times New Roman"/>
          <w:spacing w:val="-14"/>
        </w:rPr>
        <w:t>3.</w:t>
      </w:r>
      <w:r>
        <w:rPr>
          <w:spacing w:val="-14"/>
        </w:rPr>
        <w:t>英语专业和翻译专业的英语专业四级成绩&gt;70分，或雅思成绩≥7分(两年有效),</w:t>
      </w:r>
      <w:r>
        <w:rPr>
          <w:spacing w:val="9"/>
        </w:rPr>
        <w:t xml:space="preserve"> </w:t>
      </w:r>
      <w:r>
        <w:rPr>
          <w:spacing w:val="3"/>
        </w:rPr>
        <w:t>或托福成绩≥95分(两年有效);日语专业的日</w:t>
      </w:r>
      <w:r>
        <w:rPr>
          <w:spacing w:val="2"/>
        </w:rPr>
        <w:t>语专业四级成绩70分；</w:t>
      </w:r>
    </w:p>
    <w:p>
      <w:pPr>
        <w:pStyle w:val="BodyText"/>
        <w:ind w:left="488"/>
        <w:spacing w:before="72" w:line="212" w:lineRule="auto"/>
        <w:rPr/>
      </w:pPr>
      <w:r>
        <w:rPr>
          <w:spacing w:val="-11"/>
        </w:rPr>
        <w:t>4.第一外语为日语的，日本语能力测试(</w:t>
      </w:r>
      <w:r>
        <w:rPr>
          <w:spacing w:val="-74"/>
        </w:rPr>
        <w:t xml:space="preserve"> </w:t>
      </w:r>
      <w:r>
        <w:rPr>
          <w:rFonts w:ascii="Times New Roman" w:hAnsi="Times New Roman" w:eastAsia="Times New Roman" w:cs="Times New Roman"/>
          <w:spacing w:val="-11"/>
        </w:rPr>
        <w:t>JLPT) </w:t>
      </w:r>
      <w:r>
        <w:rPr>
          <w:spacing w:val="-11"/>
        </w:rPr>
        <w:t>取得</w:t>
      </w:r>
      <w:r>
        <w:rPr>
          <w:rFonts w:ascii="Times New Roman" w:hAnsi="Times New Roman" w:eastAsia="Times New Roman" w:cs="Times New Roman"/>
          <w:spacing w:val="-11"/>
        </w:rPr>
        <w:t>N</w:t>
      </w:r>
      <w:r>
        <w:rPr>
          <w:rFonts w:ascii="Times New Roman" w:hAnsi="Times New Roman" w:eastAsia="Times New Roman" w:cs="Times New Roman"/>
          <w:spacing w:val="-12"/>
        </w:rPr>
        <w:t>2</w:t>
      </w:r>
      <w:r>
        <w:rPr>
          <w:spacing w:val="-12"/>
        </w:rPr>
        <w:t>合格证书。</w:t>
      </w:r>
    </w:p>
    <w:p>
      <w:pPr>
        <w:pStyle w:val="BodyText"/>
        <w:ind w:left="8" w:right="67" w:firstLine="619"/>
        <w:spacing w:before="115" w:line="275" w:lineRule="auto"/>
        <w:jc w:val="both"/>
        <w:rPr/>
      </w:pPr>
      <w:r>
        <w:rPr>
          <w:spacing w:val="-7"/>
        </w:rPr>
        <w:t>(三)有特殊学术专长或具有突出培养潜质的推免生(第十四条除外),专业排名</w:t>
      </w:r>
      <w:r>
        <w:rPr>
          <w:spacing w:val="3"/>
        </w:rPr>
        <w:t xml:space="preserve"> </w:t>
      </w:r>
      <w:r>
        <w:rPr>
          <w:spacing w:val="-11"/>
        </w:rPr>
        <w:t>要求可放宽至前50%及以内，非外语类(不含术科和英语、日语、翻译专业)大学</w:t>
      </w:r>
      <w:r>
        <w:rPr>
          <w:spacing w:val="-12"/>
        </w:rPr>
        <w:t>英语</w:t>
      </w:r>
      <w:r>
        <w:rPr/>
        <w:t xml:space="preserve"> </w:t>
      </w:r>
      <w:r>
        <w:rPr>
          <w:spacing w:val="-6"/>
        </w:rPr>
        <w:t>(</w:t>
      </w:r>
      <w:r>
        <w:rPr>
          <w:rFonts w:ascii="Arial" w:hAnsi="Arial" w:eastAsia="Arial" w:cs="Arial"/>
          <w:spacing w:val="-6"/>
        </w:rPr>
        <w:t>CET) </w:t>
      </w:r>
      <w:r>
        <w:rPr>
          <w:spacing w:val="-6"/>
        </w:rPr>
        <w:t>四级成绩放宽至425分及以上。</w:t>
      </w:r>
    </w:p>
    <w:p>
      <w:pPr>
        <w:pStyle w:val="BodyText"/>
        <w:ind w:left="488"/>
        <w:spacing w:before="43" w:line="219" w:lineRule="auto"/>
        <w:rPr/>
      </w:pPr>
      <w:r>
        <w:rPr>
          <w:spacing w:val="-7"/>
        </w:rPr>
        <w:t>成绩证明应当于推免当年的8月30日前获得。</w:t>
      </w:r>
    </w:p>
    <w:p>
      <w:pPr>
        <w:pStyle w:val="BodyText"/>
        <w:ind w:left="8" w:right="66" w:firstLine="479"/>
        <w:spacing w:before="110" w:line="263" w:lineRule="auto"/>
        <w:rPr/>
      </w:pPr>
      <w:r>
        <w:rPr>
          <w:rFonts w:ascii="SimHei" w:hAnsi="SimHei" w:eastAsia="SimHei" w:cs="SimHei"/>
          <w:spacing w:val="-8"/>
        </w:rPr>
        <w:t>第十一条参加过国(境)内、</w:t>
      </w:r>
      <w:r>
        <w:rPr>
          <w:spacing w:val="-8"/>
        </w:rPr>
        <w:t>外校际交流项目的学生在</w:t>
      </w:r>
      <w:r>
        <w:rPr>
          <w:spacing w:val="-9"/>
        </w:rPr>
        <w:t>交流期间的成绩如在推免</w:t>
      </w:r>
      <w:r>
        <w:rPr/>
        <w:t xml:space="preserve"> </w:t>
      </w:r>
      <w:r>
        <w:rPr>
          <w:spacing w:val="-21"/>
        </w:rPr>
        <w:t>生工作开始前完成学分转换的，统一纳入专业排名范畴，未在推免生工作开始前完成学</w:t>
      </w:r>
      <w:r>
        <w:rPr/>
        <w:t xml:space="preserve"> </w:t>
      </w:r>
      <w:r>
        <w:rPr>
          <w:spacing w:val="-22"/>
        </w:rPr>
        <w:t>分转换的，不纳入专业排名范畴。各学院应结合本院实际情况对学生在外校交流所获得</w:t>
      </w:r>
      <w:r>
        <w:rPr>
          <w:spacing w:val="14"/>
        </w:rPr>
        <w:t xml:space="preserve"> </w:t>
      </w:r>
      <w:r>
        <w:rPr>
          <w:spacing w:val="-20"/>
        </w:rPr>
        <w:t>的成绩、学分进行及时认定。</w:t>
      </w:r>
    </w:p>
    <w:p>
      <w:pPr>
        <w:pStyle w:val="BodyText"/>
        <w:ind w:left="8" w:right="89" w:firstLine="479"/>
        <w:spacing w:before="108" w:line="261" w:lineRule="auto"/>
        <w:rPr/>
      </w:pPr>
      <w:r>
        <w:rPr>
          <w:spacing w:val="-17"/>
        </w:rPr>
        <w:t>第十二条各学院应将本科阶段学业成绩作为推免工作最基础的遴选指标，不得专</w:t>
      </w:r>
      <w:r>
        <w:rPr>
          <w:spacing w:val="7"/>
        </w:rPr>
        <w:t xml:space="preserve"> </w:t>
      </w:r>
      <w:r>
        <w:rPr>
          <w:spacing w:val="-11"/>
        </w:rPr>
        <w:t>门组织遴选推免生的考试(包括笔试、面试等),推荐时</w:t>
      </w:r>
      <w:r>
        <w:rPr>
          <w:spacing w:val="-12"/>
        </w:rPr>
        <w:t>对符合条件的申请人进行综合</w:t>
      </w:r>
      <w:r>
        <w:rPr/>
        <w:t xml:space="preserve"> </w:t>
      </w:r>
      <w:r>
        <w:rPr>
          <w:spacing w:val="-10"/>
        </w:rPr>
        <w:t>评价。综合成绩构成：学业成绩占80%,全面发</w:t>
      </w:r>
      <w:r>
        <w:rPr>
          <w:spacing w:val="-11"/>
        </w:rPr>
        <w:t>展测评成绩占20%。</w:t>
      </w:r>
    </w:p>
    <w:p>
      <w:pPr>
        <w:pStyle w:val="BodyText"/>
        <w:ind w:left="8" w:firstLine="479"/>
        <w:spacing w:before="98" w:line="284" w:lineRule="auto"/>
        <w:jc w:val="both"/>
        <w:rPr/>
      </w:pPr>
      <w:r>
        <w:rPr>
          <w:spacing w:val="-15"/>
        </w:rPr>
        <w:t>综合成绩=学业成绩(被推荐学生平均学分绩点/本专业第一名学生平均学分绩点)</w:t>
      </w:r>
      <w:r>
        <w:rPr>
          <w:spacing w:val="3"/>
        </w:rPr>
        <w:t xml:space="preserve">  </w:t>
      </w:r>
      <w:r>
        <w:rPr>
          <w:spacing w:val="-17"/>
        </w:rPr>
        <w:t>×100×80%+全面发展测评成绩(百分制)×20%。具有特殊学术专长或突出培养潜质的、</w:t>
      </w:r>
      <w:r>
        <w:rPr>
          <w:spacing w:val="16"/>
        </w:rPr>
        <w:t xml:space="preserve"> </w:t>
      </w:r>
      <w:r>
        <w:rPr>
          <w:spacing w:val="-20"/>
        </w:rPr>
        <w:t>高水平标志性成果的推免生纳入学院综合排名，不得单列指标。</w:t>
      </w:r>
    </w:p>
    <w:p>
      <w:pPr>
        <w:pStyle w:val="BodyText"/>
        <w:ind w:left="8" w:right="65" w:firstLine="479"/>
        <w:spacing w:line="284" w:lineRule="auto"/>
        <w:jc w:val="both"/>
        <w:rPr/>
      </w:pPr>
      <w:r>
        <w:rPr>
          <w:spacing w:val="-21"/>
        </w:rPr>
        <w:t>全面发展测评成绩的指标体系应包括学生在校期间学业竞赛获奖、科研成果、参军</w:t>
      </w:r>
      <w:r>
        <w:rPr/>
        <w:t xml:space="preserve"> </w:t>
      </w:r>
      <w:r>
        <w:rPr>
          <w:spacing w:val="-21"/>
        </w:rPr>
        <w:t>入伍服兵役、参加志愿服务、到国际组织实习等。在设定全面发展指标体系</w:t>
      </w:r>
      <w:r>
        <w:rPr>
          <w:spacing w:val="-22"/>
        </w:rPr>
        <w:t>时，应合理</w:t>
      </w:r>
      <w:r>
        <w:rPr/>
        <w:t xml:space="preserve"> </w:t>
      </w:r>
      <w:r>
        <w:rPr>
          <w:spacing w:val="-21"/>
        </w:rPr>
        <w:t>设置各指标所占权重及单项指标上限分值，且级差符合规范。在某一方面中有多</w:t>
      </w:r>
      <w:r>
        <w:rPr>
          <w:spacing w:val="-22"/>
        </w:rPr>
        <w:t>项加分</w:t>
      </w:r>
      <w:r>
        <w:rPr/>
        <w:t xml:space="preserve"> </w:t>
      </w:r>
      <w:r>
        <w:rPr>
          <w:spacing w:val="-18"/>
        </w:rPr>
        <w:t>情况时，原则上只取一项。</w:t>
      </w:r>
    </w:p>
    <w:p>
      <w:pPr>
        <w:pStyle w:val="BodyText"/>
        <w:ind w:left="8" w:right="53" w:firstLine="479"/>
        <w:spacing w:before="4" w:line="283" w:lineRule="auto"/>
        <w:jc w:val="both"/>
        <w:rPr/>
      </w:pPr>
      <w:r>
        <w:rPr>
          <w:spacing w:val="-21"/>
        </w:rPr>
        <w:t>全面发展测评成绩的指标体系由学院根据学科和专业特点，在推免生实施细则中明</w:t>
      </w:r>
      <w:r>
        <w:rPr>
          <w:spacing w:val="11"/>
        </w:rPr>
        <w:t xml:space="preserve"> </w:t>
      </w:r>
      <w:r>
        <w:rPr>
          <w:spacing w:val="-21"/>
        </w:rPr>
        <w:t>确规定。竞赛以获奖证书或组委会官网公告为认定依据，论文、文学艺术作品以</w:t>
      </w:r>
      <w:r>
        <w:rPr>
          <w:spacing w:val="-22"/>
        </w:rPr>
        <w:t>正式发</w:t>
      </w:r>
      <w:r>
        <w:rPr/>
        <w:t xml:space="preserve"> </w:t>
      </w:r>
      <w:r>
        <w:rPr>
          <w:spacing w:val="-21"/>
        </w:rPr>
        <w:t>表或者网上见刊成果为认定依据，专利以专利授权书为认定依据，创新创业成果</w:t>
      </w:r>
      <w:r>
        <w:rPr>
          <w:spacing w:val="-22"/>
        </w:rPr>
        <w:t>等以验</w:t>
      </w:r>
      <w:r>
        <w:rPr/>
        <w:t xml:space="preserve"> </w:t>
      </w:r>
      <w:r>
        <w:rPr>
          <w:spacing w:val="-12"/>
        </w:rPr>
        <w:t>收评审为认定依据。成果或活动的认定依据记</w:t>
      </w:r>
      <w:r>
        <w:rPr>
          <w:spacing w:val="-13"/>
        </w:rPr>
        <w:t>载日期须在推免当年8月30日前。</w:t>
      </w:r>
    </w:p>
    <w:p>
      <w:pPr>
        <w:pStyle w:val="BodyText"/>
        <w:ind w:left="8" w:right="40" w:firstLine="479"/>
        <w:spacing w:line="285" w:lineRule="auto"/>
        <w:rPr/>
      </w:pPr>
      <w:r>
        <w:rPr>
          <w:spacing w:val="-21"/>
        </w:rPr>
        <w:t>全面发展测评成绩认定的所有环节须做到可追溯、</w:t>
      </w:r>
      <w:r>
        <w:rPr>
          <w:rFonts w:ascii="SimHei" w:hAnsi="SimHei" w:eastAsia="SimHei" w:cs="SimHei"/>
          <w:spacing w:val="-21"/>
        </w:rPr>
        <w:t>可倒查，</w:t>
      </w:r>
      <w:r>
        <w:rPr>
          <w:spacing w:val="-21"/>
        </w:rPr>
        <w:t>对每位申请学生在各项</w:t>
      </w:r>
      <w:r>
        <w:rPr/>
        <w:t xml:space="preserve"> </w:t>
      </w:r>
      <w:r>
        <w:rPr>
          <w:spacing w:val="-20"/>
        </w:rPr>
        <w:t>考核项目中的得分，须有明确的书面或视频记录，记录材料</w:t>
      </w:r>
      <w:r>
        <w:rPr>
          <w:spacing w:val="-21"/>
        </w:rPr>
        <w:t>及其它材料均须存档备查。</w:t>
      </w:r>
    </w:p>
    <w:p>
      <w:pPr>
        <w:pStyle w:val="BodyText"/>
        <w:ind w:left="488"/>
        <w:spacing w:line="219" w:lineRule="auto"/>
        <w:rPr/>
      </w:pPr>
      <w:r>
        <w:rPr>
          <w:spacing w:val="-6"/>
        </w:rPr>
        <w:t>符合第十三条第(三)款的，其全面发展测评成绩为20分。</w:t>
      </w:r>
    </w:p>
    <w:p>
      <w:pPr>
        <w:pStyle w:val="BodyText"/>
        <w:ind w:left="8" w:right="159" w:firstLine="479"/>
        <w:spacing w:before="101" w:line="280" w:lineRule="auto"/>
        <w:rPr>
          <w:rFonts w:ascii="SimHei" w:hAnsi="SimHei" w:eastAsia="SimHei" w:cs="SimHei"/>
        </w:rPr>
      </w:pPr>
      <w:r>
        <w:rPr>
          <w:spacing w:val="-17"/>
        </w:rPr>
        <w:t>第十三条申请有特殊学术专长或具有突出培养潜质的推免生，必须符合以下条件</w:t>
      </w:r>
      <w:r>
        <w:rPr>
          <w:spacing w:val="4"/>
        </w:rPr>
        <w:t xml:space="preserve"> </w:t>
      </w:r>
      <w:r>
        <w:rPr>
          <w:rFonts w:ascii="SimHei" w:hAnsi="SimHei" w:eastAsia="SimHei" w:cs="SimHei"/>
          <w:spacing w:val="-16"/>
        </w:rPr>
        <w:t>之一：</w:t>
      </w:r>
    </w:p>
    <w:p>
      <w:pPr>
        <w:pStyle w:val="BodyText"/>
        <w:ind w:left="8" w:right="66" w:firstLine="609"/>
        <w:spacing w:before="1" w:line="236" w:lineRule="auto"/>
        <w:rPr>
          <w:sz w:val="25"/>
          <w:szCs w:val="25"/>
        </w:rPr>
      </w:pPr>
      <w:r>
        <w:rPr>
          <w:sz w:val="25"/>
          <w:szCs w:val="25"/>
          <w:spacing w:val="-8"/>
        </w:rPr>
        <w:t>(一)本科在读期间在二类及以上学术刊物上以独立作者或第一作者发表与所学专</w:t>
      </w:r>
      <w:r>
        <w:rPr>
          <w:sz w:val="25"/>
          <w:szCs w:val="25"/>
          <w:spacing w:val="10"/>
        </w:rPr>
        <w:t xml:space="preserve"> </w:t>
      </w:r>
      <w:r>
        <w:rPr>
          <w:sz w:val="25"/>
          <w:szCs w:val="25"/>
          <w:spacing w:val="-4"/>
        </w:rPr>
        <w:t>业领域相关的科研论文1篇及以上，以正式发表为依据，发</w:t>
      </w:r>
      <w:r>
        <w:rPr>
          <w:sz w:val="25"/>
          <w:szCs w:val="25"/>
          <w:spacing w:val="-5"/>
        </w:rPr>
        <w:t>表时间截至推免当年8月30</w:t>
      </w:r>
    </w:p>
    <w:p>
      <w:pPr>
        <w:spacing w:line="236" w:lineRule="auto"/>
        <w:sectPr>
          <w:footerReference w:type="default" r:id="rId4"/>
          <w:pgSz w:w="11900" w:h="16830"/>
          <w:pgMar w:top="1132" w:right="1370" w:bottom="1500" w:left="1371" w:header="0" w:footer="1105" w:gutter="0"/>
        </w:sectPr>
        <w:rPr>
          <w:sz w:val="25"/>
          <w:szCs w:val="25"/>
        </w:rPr>
      </w:pPr>
    </w:p>
    <w:p>
      <w:pPr>
        <w:ind w:left="2581" w:right="178" w:hanging="2379"/>
        <w:spacing w:before="80" w:line="232" w:lineRule="auto"/>
        <w:rPr>
          <w:rFonts w:ascii="SimHei" w:hAnsi="SimHei" w:eastAsia="SimHei" w:cs="SimHei"/>
          <w:sz w:val="40"/>
          <w:szCs w:val="40"/>
        </w:rPr>
      </w:pPr>
      <w:r>
        <w:rPr>
          <w:rFonts w:ascii="SimHei" w:hAnsi="SimHei" w:eastAsia="SimHei" w:cs="SimHei"/>
          <w:sz w:val="40"/>
          <w:szCs w:val="40"/>
          <w:spacing w:val="-1"/>
        </w:rPr>
        <w:t>集美大学推荐优秀应届本科毕业生免试攻读硕士学</w:t>
      </w:r>
      <w:r>
        <w:rPr>
          <w:rFonts w:ascii="SimHei" w:hAnsi="SimHei" w:eastAsia="SimHei" w:cs="SimHei"/>
          <w:sz w:val="40"/>
          <w:szCs w:val="40"/>
          <w:spacing w:val="2"/>
        </w:rPr>
        <w:t xml:space="preserve"> </w:t>
      </w:r>
      <w:r>
        <w:rPr>
          <w:rFonts w:ascii="SimHei" w:hAnsi="SimHei" w:eastAsia="SimHei" w:cs="SimHei"/>
          <w:sz w:val="40"/>
          <w:szCs w:val="40"/>
          <w:spacing w:val="1"/>
        </w:rPr>
        <w:t>位研究生工作实施办法</w:t>
      </w:r>
    </w:p>
    <w:p>
      <w:pPr>
        <w:pStyle w:val="BodyText"/>
        <w:ind w:left="5112"/>
        <w:spacing w:before="140" w:line="219" w:lineRule="auto"/>
        <w:rPr>
          <w:rFonts w:ascii="Times New Roman" w:hAnsi="Times New Roman" w:eastAsia="Times New Roman" w:cs="Times New Roman"/>
          <w:sz w:val="20"/>
          <w:szCs w:val="20"/>
        </w:rPr>
      </w:pPr>
      <w:r>
        <w:drawing>
          <wp:anchor distT="0" distB="0" distL="0" distR="0" simplePos="0" relativeHeight="251661312" behindDoc="0" locked="0" layoutInCell="1" allowOverlap="1">
            <wp:simplePos x="0" y="0"/>
            <wp:positionH relativeFrom="column">
              <wp:posOffset>7747</wp:posOffset>
            </wp:positionH>
            <wp:positionV relativeFrom="paragraph">
              <wp:posOffset>219293</wp:posOffset>
            </wp:positionV>
            <wp:extent cx="5592163" cy="6350"/>
            <wp:effectExtent l="0" t="0" r="0" b="0"/>
            <wp:wrapNone/>
            <wp:docPr id="14" name="IM 14"/>
            <wp:cNvGraphicFramePr/>
            <a:graphic>
              <a:graphicData uri="http://schemas.openxmlformats.org/drawingml/2006/picture">
                <pic:pic>
                  <pic:nvPicPr>
                    <pic:cNvPr id="14" name="IM 14"/>
                    <pic:cNvPicPr/>
                  </pic:nvPicPr>
                  <pic:blipFill>
                    <a:blip r:embed="rId7"/>
                    <a:stretch>
                      <a:fillRect/>
                    </a:stretch>
                  </pic:blipFill>
                  <pic:spPr>
                    <a:xfrm rot="0">
                      <a:off x="0" y="0"/>
                      <a:ext cx="5592163" cy="6350"/>
                    </a:xfrm>
                    <a:prstGeom prst="rect">
                      <a:avLst/>
                    </a:prstGeom>
                  </pic:spPr>
                </pic:pic>
              </a:graphicData>
            </a:graphic>
          </wp:anchor>
        </w:drawing>
      </w:r>
      <w:r>
        <w:rPr>
          <w:sz w:val="20"/>
          <w:szCs w:val="20"/>
          <w:spacing w:val="-4"/>
        </w:rPr>
        <w:t>文</w:t>
      </w:r>
      <w:r>
        <w:rPr>
          <w:sz w:val="20"/>
          <w:szCs w:val="20"/>
          <w:spacing w:val="51"/>
        </w:rPr>
        <w:t xml:space="preserve"> </w:t>
      </w:r>
      <w:r>
        <w:rPr>
          <w:sz w:val="20"/>
          <w:szCs w:val="20"/>
          <w:spacing w:val="-4"/>
        </w:rPr>
        <w:t>件</w:t>
      </w:r>
      <w:r>
        <w:rPr>
          <w:sz w:val="20"/>
          <w:szCs w:val="20"/>
          <w:spacing w:val="54"/>
        </w:rPr>
        <w:t xml:space="preserve"> </w:t>
      </w:r>
      <w:r>
        <w:rPr>
          <w:sz w:val="20"/>
          <w:szCs w:val="20"/>
          <w:spacing w:val="-4"/>
        </w:rPr>
        <w:t>编</w:t>
      </w:r>
      <w:r>
        <w:rPr>
          <w:sz w:val="20"/>
          <w:szCs w:val="20"/>
          <w:spacing w:val="56"/>
        </w:rPr>
        <w:t xml:space="preserve"> </w:t>
      </w:r>
      <w:r>
        <w:rPr>
          <w:sz w:val="20"/>
          <w:szCs w:val="20"/>
          <w:spacing w:val="-4"/>
        </w:rPr>
        <w:t>号</w:t>
      </w:r>
      <w:r>
        <w:rPr>
          <w:sz w:val="20"/>
          <w:szCs w:val="20"/>
          <w:spacing w:val="69"/>
        </w:rPr>
        <w:t xml:space="preserve"> </w:t>
      </w:r>
      <w:r>
        <w:rPr>
          <w:sz w:val="20"/>
          <w:szCs w:val="20"/>
          <w:spacing w:val="-4"/>
        </w:rPr>
        <w:t>：</w:t>
      </w:r>
      <w:r>
        <w:rPr>
          <w:rFonts w:ascii="Times New Roman" w:hAnsi="Times New Roman" w:eastAsia="Times New Roman" w:cs="Times New Roman"/>
          <w:sz w:val="20"/>
          <w:szCs w:val="20"/>
          <w:spacing w:val="-4"/>
        </w:rPr>
        <w:t>J   D   0   4   J</w:t>
      </w:r>
      <w:r>
        <w:rPr>
          <w:rFonts w:ascii="Times New Roman" w:hAnsi="Times New Roman" w:eastAsia="Times New Roman" w:cs="Times New Roman"/>
          <w:sz w:val="20"/>
          <w:szCs w:val="20"/>
          <w:spacing w:val="23"/>
          <w:w w:val="101"/>
        </w:rPr>
        <w:t xml:space="preserve">  </w:t>
      </w:r>
      <w:r>
        <w:rPr>
          <w:rFonts w:ascii="Times New Roman" w:hAnsi="Times New Roman" w:eastAsia="Times New Roman" w:cs="Times New Roman"/>
          <w:sz w:val="20"/>
          <w:szCs w:val="20"/>
          <w:spacing w:val="-4"/>
        </w:rPr>
        <w:t>W</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spacing w:val="-4"/>
        </w:rPr>
        <w:t>0</w:t>
      </w:r>
      <w:r>
        <w:rPr>
          <w:rFonts w:ascii="Times New Roman" w:hAnsi="Times New Roman" w:eastAsia="Times New Roman" w:cs="Times New Roman"/>
          <w:sz w:val="20"/>
          <w:szCs w:val="20"/>
          <w:spacing w:val="24"/>
          <w:w w:val="101"/>
        </w:rPr>
        <w:t xml:space="preserve">  </w:t>
      </w:r>
      <w:r>
        <w:rPr>
          <w:rFonts w:ascii="Times New Roman" w:hAnsi="Times New Roman" w:eastAsia="Times New Roman" w:cs="Times New Roman"/>
          <w:sz w:val="20"/>
          <w:szCs w:val="20"/>
          <w:spacing w:val="-4"/>
        </w:rPr>
        <w:t>2</w:t>
      </w:r>
      <w:r>
        <w:rPr>
          <w:rFonts w:ascii="Times New Roman" w:hAnsi="Times New Roman" w:eastAsia="Times New Roman" w:cs="Times New Roman"/>
          <w:sz w:val="20"/>
          <w:szCs w:val="20"/>
          <w:spacing w:val="5"/>
        </w:rPr>
        <w:t xml:space="preserve">   </w:t>
      </w:r>
      <w:r>
        <w:rPr>
          <w:rFonts w:ascii="Times New Roman" w:hAnsi="Times New Roman" w:eastAsia="Times New Roman" w:cs="Times New Roman"/>
          <w:sz w:val="20"/>
          <w:szCs w:val="20"/>
          <w:spacing w:val="-4"/>
        </w:rPr>
        <w:t>1</w:t>
      </w:r>
    </w:p>
    <w:p>
      <w:pPr>
        <w:pStyle w:val="BodyText"/>
        <w:ind w:left="12"/>
        <w:spacing w:before="85" w:line="219" w:lineRule="auto"/>
        <w:rPr/>
      </w:pPr>
      <w:r>
        <w:rPr>
          <w:spacing w:val="-21"/>
        </w:rPr>
        <w:t>日，刊物认定以《集美大学刊物分类办法》为准。</w:t>
      </w:r>
    </w:p>
    <w:p>
      <w:pPr>
        <w:pStyle w:val="BodyText"/>
        <w:ind w:left="12" w:right="87" w:firstLine="619"/>
        <w:spacing w:before="80" w:line="255" w:lineRule="auto"/>
        <w:rPr/>
      </w:pPr>
      <w:r>
        <w:rPr>
          <w:spacing w:val="-15"/>
        </w:rPr>
        <w:t>(二)本科在读期间以第一发明人获得国家发明专利2项及以上，以专利授权书为</w:t>
      </w:r>
      <w:r>
        <w:rPr>
          <w:spacing w:val="11"/>
        </w:rPr>
        <w:t xml:space="preserve"> </w:t>
      </w:r>
      <w:r>
        <w:rPr>
          <w:spacing w:val="-4"/>
        </w:rPr>
        <w:t>依据，截至推免当年8月30日。</w:t>
      </w:r>
    </w:p>
    <w:p>
      <w:pPr>
        <w:pStyle w:val="BodyText"/>
        <w:ind w:left="12" w:right="68" w:firstLine="619"/>
        <w:spacing w:before="81" w:line="255" w:lineRule="auto"/>
        <w:rPr/>
      </w:pPr>
      <w:r>
        <w:rPr>
          <w:spacing w:val="-16"/>
        </w:rPr>
        <w:t>(三)符合《集美大学学生学科竞赛管理办法》规定的</w:t>
      </w:r>
      <w:r>
        <w:rPr>
          <w:rFonts w:ascii="Times New Roman" w:hAnsi="Times New Roman" w:eastAsia="Times New Roman" w:cs="Times New Roman"/>
          <w:spacing w:val="-16"/>
        </w:rPr>
        <w:t>A</w:t>
      </w:r>
      <w:r>
        <w:rPr>
          <w:spacing w:val="-16"/>
        </w:rPr>
        <w:t>类竞赛获奖的团队核心成</w:t>
      </w:r>
      <w:r>
        <w:rPr>
          <w:spacing w:val="8"/>
        </w:rPr>
        <w:t xml:space="preserve"> </w:t>
      </w:r>
      <w:r>
        <w:rPr>
          <w:spacing w:val="-13"/>
        </w:rPr>
        <w:t>员，以获奖证书或文件为据，截至推免当年8月30日，具体条件如下：</w:t>
      </w:r>
    </w:p>
    <w:p>
      <w:pPr>
        <w:ind w:left="502"/>
        <w:spacing w:before="79" w:line="213" w:lineRule="auto"/>
        <w:rPr>
          <w:rFonts w:ascii="SimHei" w:hAnsi="SimHei" w:eastAsia="SimHei" w:cs="SimHei"/>
          <w:sz w:val="26"/>
          <w:szCs w:val="26"/>
        </w:rPr>
      </w:pPr>
      <w:r>
        <w:rPr>
          <w:rFonts w:ascii="Arial" w:hAnsi="Arial" w:eastAsia="Arial" w:cs="Arial"/>
          <w:sz w:val="26"/>
          <w:szCs w:val="26"/>
          <w:spacing w:val="-9"/>
        </w:rPr>
        <w:t>1.</w:t>
      </w:r>
      <w:r>
        <w:rPr>
          <w:rFonts w:ascii="SimHei" w:hAnsi="SimHei" w:eastAsia="SimHei" w:cs="SimHei"/>
          <w:sz w:val="26"/>
          <w:szCs w:val="26"/>
          <w:spacing w:val="-9"/>
        </w:rPr>
        <w:t>获得国家级三等奖(铜奖)的，团队排名</w:t>
      </w:r>
      <w:r>
        <w:rPr>
          <w:rFonts w:ascii="SimHei" w:hAnsi="SimHei" w:eastAsia="SimHei" w:cs="SimHei"/>
          <w:sz w:val="26"/>
          <w:szCs w:val="26"/>
          <w:spacing w:val="-10"/>
        </w:rPr>
        <w:t>第一的队员；</w:t>
      </w:r>
    </w:p>
    <w:p>
      <w:pPr>
        <w:ind w:left="502"/>
        <w:spacing w:before="90" w:line="213" w:lineRule="auto"/>
        <w:rPr>
          <w:rFonts w:ascii="SimHei" w:hAnsi="SimHei" w:eastAsia="SimHei" w:cs="SimHei"/>
          <w:sz w:val="26"/>
          <w:szCs w:val="26"/>
        </w:rPr>
      </w:pPr>
      <w:r>
        <w:rPr>
          <w:rFonts w:ascii="Arial" w:hAnsi="Arial" w:eastAsia="Arial" w:cs="Arial"/>
          <w:sz w:val="26"/>
          <w:szCs w:val="26"/>
          <w:spacing w:val="-9"/>
        </w:rPr>
        <w:t>2.</w:t>
      </w:r>
      <w:r>
        <w:rPr>
          <w:rFonts w:ascii="SimHei" w:hAnsi="SimHei" w:eastAsia="SimHei" w:cs="SimHei"/>
          <w:sz w:val="26"/>
          <w:szCs w:val="26"/>
          <w:spacing w:val="-9"/>
        </w:rPr>
        <w:t>获得国家级二等奖(银奖)的，团队排名前二的队员；</w:t>
      </w:r>
    </w:p>
    <w:p>
      <w:pPr>
        <w:pStyle w:val="BodyText"/>
        <w:ind w:left="12" w:firstLine="489"/>
        <w:spacing w:before="122" w:line="260" w:lineRule="auto"/>
        <w:rPr/>
      </w:pPr>
      <w:r>
        <w:rPr>
          <w:spacing w:val="-14"/>
        </w:rPr>
        <w:t>3.获得国家级特等奖和一等奖(金奖)</w:t>
      </w:r>
      <w:r>
        <w:rPr>
          <w:rFonts w:ascii="SimHei" w:hAnsi="SimHei" w:eastAsia="SimHei" w:cs="SimHei"/>
          <w:spacing w:val="-14"/>
        </w:rPr>
        <w:t>及以上的，团队排名前三的队员。参赛获奖</w:t>
      </w:r>
      <w:r>
        <w:rPr>
          <w:rFonts w:ascii="SimHei" w:hAnsi="SimHei" w:eastAsia="SimHei" w:cs="SimHei"/>
          <w:spacing w:val="6"/>
        </w:rPr>
        <w:t xml:space="preserve"> </w:t>
      </w:r>
      <w:r>
        <w:rPr>
          <w:spacing w:val="-19"/>
        </w:rPr>
        <w:t>时如获得国家级一等奖(金奖)及以上，且团队成员排名前三的队员中有非在校本科生，</w:t>
      </w:r>
      <w:r>
        <w:rPr>
          <w:spacing w:val="9"/>
        </w:rPr>
        <w:t xml:space="preserve"> </w:t>
      </w:r>
      <w:r>
        <w:rPr>
          <w:spacing w:val="-20"/>
        </w:rPr>
        <w:t>则最多可顺延一位队员获得推荐资格，即排名前四的队员可获推荐资格。</w:t>
      </w:r>
    </w:p>
    <w:p>
      <w:pPr>
        <w:pStyle w:val="BodyText"/>
        <w:ind w:left="12" w:right="67" w:firstLine="619"/>
        <w:spacing w:before="113" w:line="248" w:lineRule="auto"/>
        <w:rPr/>
      </w:pPr>
      <w:r>
        <w:rPr>
          <w:spacing w:val="-18"/>
        </w:rPr>
        <w:t>(四)大学生在服役期间在部队获得三等战功、二等功以上奖励或者二级以上表彰</w:t>
      </w:r>
      <w:r>
        <w:rPr>
          <w:spacing w:val="9"/>
        </w:rPr>
        <w:t xml:space="preserve"> </w:t>
      </w:r>
      <w:r>
        <w:rPr>
          <w:spacing w:val="-19"/>
        </w:rPr>
        <w:t>的退役学生。</w:t>
      </w:r>
    </w:p>
    <w:p>
      <w:pPr>
        <w:pStyle w:val="BodyText"/>
        <w:ind w:left="632"/>
        <w:spacing w:before="80" w:line="219" w:lineRule="auto"/>
        <w:rPr/>
      </w:pPr>
      <w:r>
        <w:rPr>
          <w:spacing w:val="-15"/>
        </w:rPr>
        <w:t>(五)其他经学校学术委员会认定的高水平</w:t>
      </w:r>
      <w:r>
        <w:rPr>
          <w:spacing w:val="-16"/>
        </w:rPr>
        <w:t>创新成果的第一获得者。</w:t>
      </w:r>
    </w:p>
    <w:p>
      <w:pPr>
        <w:pStyle w:val="BodyText"/>
        <w:ind w:left="12" w:right="68" w:firstLine="489"/>
        <w:spacing w:before="112" w:line="277" w:lineRule="auto"/>
        <w:rPr/>
      </w:pPr>
      <w:r>
        <w:rPr>
          <w:spacing w:val="-21"/>
        </w:rPr>
        <w:t>学生与直系亲属或学历、职称、职务明显高于本人</w:t>
      </w:r>
      <w:r>
        <w:rPr>
          <w:spacing w:val="-22"/>
        </w:rPr>
        <w:t>者合作的科研成果、竞赛奖项等</w:t>
      </w:r>
      <w:r>
        <w:rPr/>
        <w:t xml:space="preserve"> </w:t>
      </w:r>
      <w:r>
        <w:rPr>
          <w:spacing w:val="-20"/>
        </w:rPr>
        <w:t>不作为特殊学术专长依据，但可以作为全面发展测评成绩的认定依据。</w:t>
      </w:r>
    </w:p>
    <w:p>
      <w:pPr>
        <w:pStyle w:val="BodyText"/>
        <w:ind w:left="502"/>
        <w:spacing w:before="1" w:line="218" w:lineRule="auto"/>
        <w:rPr/>
      </w:pPr>
      <w:r>
        <w:rPr>
          <w:spacing w:val="-20"/>
        </w:rPr>
        <w:t>学生的科研成果、竞赛奖项等须以我校为第一署名单位。</w:t>
      </w:r>
    </w:p>
    <w:p>
      <w:pPr>
        <w:pStyle w:val="BodyText"/>
        <w:ind w:left="12" w:right="249" w:firstLine="489"/>
        <w:spacing w:before="93" w:line="284" w:lineRule="auto"/>
        <w:rPr/>
      </w:pPr>
      <w:r>
        <w:rPr>
          <w:spacing w:val="-20"/>
        </w:rPr>
        <w:t>各学院推免生遴选工作小组负责对申请有特殊学术专长或具有突出培养潜质的推</w:t>
      </w:r>
      <w:r>
        <w:rPr>
          <w:spacing w:val="9"/>
        </w:rPr>
        <w:t xml:space="preserve"> </w:t>
      </w:r>
      <w:r>
        <w:rPr>
          <w:spacing w:val="-20"/>
        </w:rPr>
        <w:t>免生材料进行审核认定，认定符合条件后进入第十五条的推荐程序。</w:t>
      </w:r>
    </w:p>
    <w:p>
      <w:pPr>
        <w:pStyle w:val="BodyText"/>
        <w:ind w:left="12" w:right="68" w:firstLine="489"/>
        <w:spacing w:before="4" w:line="264" w:lineRule="auto"/>
        <w:rPr/>
      </w:pPr>
      <w:r>
        <w:rPr>
          <w:spacing w:val="-12"/>
        </w:rPr>
        <w:t>第十四条体育学院优秀学生运动员获得高水平标志性</w:t>
      </w:r>
      <w:r>
        <w:rPr>
          <w:spacing w:val="-13"/>
        </w:rPr>
        <w:t>成果的，完成前6学期应修</w:t>
      </w:r>
      <w:r>
        <w:rPr/>
        <w:t xml:space="preserve"> </w:t>
      </w:r>
      <w:r>
        <w:rPr>
          <w:spacing w:val="-21"/>
        </w:rPr>
        <w:t>读的所有课程，成绩合格并取得学分。具体实施方案由体育学院制定，经学校推免</w:t>
      </w:r>
      <w:r>
        <w:rPr>
          <w:spacing w:val="-22"/>
        </w:rPr>
        <w:t>生遴</w:t>
      </w:r>
      <w:r>
        <w:rPr/>
        <w:t xml:space="preserve"> </w:t>
      </w:r>
      <w:r>
        <w:rPr>
          <w:spacing w:val="-21"/>
        </w:rPr>
        <w:t>选工作领导小组同意后执行。优秀学生运动员的推荐人数原则上不能超过当年学</w:t>
      </w:r>
      <w:r>
        <w:rPr>
          <w:spacing w:val="-22"/>
        </w:rPr>
        <w:t>院推免</w:t>
      </w:r>
      <w:r>
        <w:rPr/>
        <w:t xml:space="preserve"> </w:t>
      </w:r>
      <w:r>
        <w:rPr>
          <w:spacing w:val="-10"/>
        </w:rPr>
        <w:t>生指标的20%。</w:t>
      </w:r>
    </w:p>
    <w:p>
      <w:pPr>
        <w:pStyle w:val="BodyText"/>
        <w:ind w:left="502"/>
        <w:spacing w:before="117" w:line="219" w:lineRule="auto"/>
        <w:rPr/>
      </w:pPr>
      <w:r>
        <w:rPr>
          <w:spacing w:val="-16"/>
        </w:rPr>
        <w:t>第十五条符合第十三条和第十四条的推荐程序如下：</w:t>
      </w:r>
    </w:p>
    <w:p>
      <w:pPr>
        <w:pStyle w:val="BodyText"/>
        <w:ind w:left="12" w:right="69" w:firstLine="619"/>
        <w:spacing w:before="92" w:line="248" w:lineRule="auto"/>
        <w:rPr/>
      </w:pPr>
      <w:r>
        <w:rPr>
          <w:spacing w:val="-18"/>
        </w:rPr>
        <w:t>(一)联名推荐。申请有特殊学术专长或具有突出培养潜质的推免生需有三名以上</w:t>
      </w:r>
      <w:r>
        <w:rPr>
          <w:spacing w:val="7"/>
        </w:rPr>
        <w:t xml:space="preserve"> </w:t>
      </w:r>
      <w:r>
        <w:rPr>
          <w:spacing w:val="-19"/>
        </w:rPr>
        <w:t>本专业教授联名推荐。</w:t>
      </w:r>
    </w:p>
    <w:p>
      <w:pPr>
        <w:pStyle w:val="BodyText"/>
        <w:ind w:left="12" w:right="40" w:firstLine="619"/>
        <w:spacing w:before="110" w:line="263" w:lineRule="auto"/>
        <w:rPr/>
      </w:pPr>
      <w:r>
        <w:rPr>
          <w:spacing w:val="-14"/>
        </w:rPr>
        <w:t>(二)学院推荐。各学院成立专家审核小组(专家组成员原则上应具有相关学科副</w:t>
      </w:r>
      <w:r>
        <w:rPr>
          <w:spacing w:val="4"/>
        </w:rPr>
        <w:t xml:space="preserve"> </w:t>
      </w:r>
      <w:r>
        <w:rPr>
          <w:spacing w:val="-11"/>
        </w:rPr>
        <w:t>教授以上职称，一般不少于5人),可会同本研究领域权威专家、相关期刊杂志单位或</w:t>
      </w:r>
      <w:r>
        <w:rPr>
          <w:spacing w:val="8"/>
        </w:rPr>
        <w:t xml:space="preserve"> </w:t>
      </w:r>
      <w:r>
        <w:rPr>
          <w:spacing w:val="-20"/>
        </w:rPr>
        <w:t>赛事主办单位等，对申请特殊学术专长或具有突出培养潜质</w:t>
      </w:r>
      <w:r>
        <w:rPr>
          <w:spacing w:val="-21"/>
        </w:rPr>
        <w:t>的推免生的科研创新成果、</w:t>
      </w:r>
      <w:r>
        <w:rPr/>
        <w:t xml:space="preserve"> </w:t>
      </w:r>
      <w:r>
        <w:rPr>
          <w:spacing w:val="-20"/>
        </w:rPr>
        <w:t>论文、竞赛获奖奖项及内容进行审核鉴定，排除抄袭、造假</w:t>
      </w:r>
      <w:r>
        <w:rPr>
          <w:spacing w:val="-21"/>
        </w:rPr>
        <w:t>、冒名及有名无实等情况，</w:t>
      </w:r>
      <w:r>
        <w:rPr/>
        <w:t xml:space="preserve"> </w:t>
      </w:r>
      <w:r>
        <w:rPr>
          <w:spacing w:val="-21"/>
        </w:rPr>
        <w:t>并组织相关学生在一定范围内进行公开答辩。对学生提交的多篇科研成果实行</w:t>
      </w:r>
      <w:r>
        <w:rPr>
          <w:spacing w:val="-22"/>
        </w:rPr>
        <w:t>代表作评</w:t>
      </w:r>
      <w:r>
        <w:rPr/>
        <w:t xml:space="preserve"> </w:t>
      </w:r>
      <w:r>
        <w:rPr>
          <w:spacing w:val="-21"/>
        </w:rPr>
        <w:t>价，评价重点聚焦到创新质量和个人贡献。专家审核小组及每个成员都要给出明确审核</w:t>
      </w:r>
      <w:r>
        <w:rPr>
          <w:spacing w:val="1"/>
        </w:rPr>
        <w:t xml:space="preserve"> </w:t>
      </w:r>
      <w:r>
        <w:rPr>
          <w:spacing w:val="-21"/>
        </w:rPr>
        <w:t>鉴定意见并签字存档。答辩全程要录音录像，答辩结果要公开公示，通过审核鉴定或答</w:t>
      </w:r>
    </w:p>
    <w:p>
      <w:pPr>
        <w:spacing w:line="263" w:lineRule="auto"/>
        <w:sectPr>
          <w:footerReference w:type="default" r:id="rId6"/>
          <w:pgSz w:w="11900" w:h="16830"/>
          <w:pgMar w:top="1132" w:right="1379" w:bottom="1539" w:left="1357" w:header="0" w:footer="1137" w:gutter="0"/>
        </w:sectPr>
        <w:rPr/>
      </w:pPr>
    </w:p>
    <w:p>
      <w:pPr>
        <w:ind w:left="2583" w:right="268" w:hanging="2379"/>
        <w:spacing w:before="80" w:line="232" w:lineRule="auto"/>
        <w:rPr>
          <w:rFonts w:ascii="SimHei" w:hAnsi="SimHei" w:eastAsia="SimHei" w:cs="SimHei"/>
          <w:sz w:val="40"/>
          <w:szCs w:val="40"/>
        </w:rPr>
      </w:pPr>
      <w:r>
        <w:rPr>
          <w:rFonts w:ascii="SimHei" w:hAnsi="SimHei" w:eastAsia="SimHei" w:cs="SimHei"/>
          <w:sz w:val="40"/>
          <w:szCs w:val="40"/>
          <w:spacing w:val="-1"/>
        </w:rPr>
        <w:t>集美大学推荐优秀应届本科毕业生免试攻读硕士学</w:t>
      </w:r>
      <w:r>
        <w:rPr>
          <w:rFonts w:ascii="SimHei" w:hAnsi="SimHei" w:eastAsia="SimHei" w:cs="SimHei"/>
          <w:sz w:val="40"/>
          <w:szCs w:val="40"/>
          <w:spacing w:val="2"/>
        </w:rPr>
        <w:t xml:space="preserve"> </w:t>
      </w:r>
      <w:r>
        <w:rPr>
          <w:rFonts w:ascii="SimHei" w:hAnsi="SimHei" w:eastAsia="SimHei" w:cs="SimHei"/>
          <w:sz w:val="40"/>
          <w:szCs w:val="40"/>
          <w:spacing w:val="1"/>
        </w:rPr>
        <w:t>位研究生工作实施办法</w:t>
      </w:r>
    </w:p>
    <w:p>
      <w:pPr>
        <w:pStyle w:val="BodyText"/>
        <w:ind w:left="5114"/>
        <w:spacing w:before="140" w:line="219" w:lineRule="auto"/>
        <w:rPr>
          <w:rFonts w:ascii="Times New Roman" w:hAnsi="Times New Roman" w:eastAsia="Times New Roman" w:cs="Times New Roman"/>
          <w:sz w:val="20"/>
          <w:szCs w:val="20"/>
        </w:rPr>
      </w:pPr>
      <w:r>
        <w:drawing>
          <wp:anchor distT="0" distB="0" distL="0" distR="0" simplePos="0" relativeHeight="251662336" behindDoc="0" locked="0" layoutInCell="1" allowOverlap="1">
            <wp:simplePos x="0" y="0"/>
            <wp:positionH relativeFrom="column">
              <wp:posOffset>9014</wp:posOffset>
            </wp:positionH>
            <wp:positionV relativeFrom="paragraph">
              <wp:posOffset>219293</wp:posOffset>
            </wp:positionV>
            <wp:extent cx="5592163" cy="6350"/>
            <wp:effectExtent l="0" t="0" r="0" b="0"/>
            <wp:wrapNone/>
            <wp:docPr id="18" name="IM 18"/>
            <wp:cNvGraphicFramePr/>
            <a:graphic>
              <a:graphicData uri="http://schemas.openxmlformats.org/drawingml/2006/picture">
                <pic:pic>
                  <pic:nvPicPr>
                    <pic:cNvPr id="18" name="IM 18"/>
                    <pic:cNvPicPr/>
                  </pic:nvPicPr>
                  <pic:blipFill>
                    <a:blip r:embed="rId9"/>
                    <a:stretch>
                      <a:fillRect/>
                    </a:stretch>
                  </pic:blipFill>
                  <pic:spPr>
                    <a:xfrm rot="0">
                      <a:off x="0" y="0"/>
                      <a:ext cx="5592163" cy="6350"/>
                    </a:xfrm>
                    <a:prstGeom prst="rect">
                      <a:avLst/>
                    </a:prstGeom>
                  </pic:spPr>
                </pic:pic>
              </a:graphicData>
            </a:graphic>
          </wp:anchor>
        </w:drawing>
      </w:r>
      <w:r>
        <w:rPr>
          <w:sz w:val="20"/>
          <w:szCs w:val="20"/>
          <w:spacing w:val="-4"/>
        </w:rPr>
        <w:t>文</w:t>
      </w:r>
      <w:r>
        <w:rPr>
          <w:sz w:val="20"/>
          <w:szCs w:val="20"/>
          <w:spacing w:val="51"/>
        </w:rPr>
        <w:t xml:space="preserve"> </w:t>
      </w:r>
      <w:r>
        <w:rPr>
          <w:sz w:val="20"/>
          <w:szCs w:val="20"/>
          <w:spacing w:val="-4"/>
        </w:rPr>
        <w:t>件</w:t>
      </w:r>
      <w:r>
        <w:rPr>
          <w:sz w:val="20"/>
          <w:szCs w:val="20"/>
          <w:spacing w:val="54"/>
        </w:rPr>
        <w:t xml:space="preserve"> </w:t>
      </w:r>
      <w:r>
        <w:rPr>
          <w:sz w:val="20"/>
          <w:szCs w:val="20"/>
          <w:spacing w:val="-4"/>
        </w:rPr>
        <w:t>编</w:t>
      </w:r>
      <w:r>
        <w:rPr>
          <w:sz w:val="20"/>
          <w:szCs w:val="20"/>
          <w:spacing w:val="56"/>
        </w:rPr>
        <w:t xml:space="preserve"> </w:t>
      </w:r>
      <w:r>
        <w:rPr>
          <w:sz w:val="20"/>
          <w:szCs w:val="20"/>
          <w:spacing w:val="-4"/>
        </w:rPr>
        <w:t>号</w:t>
      </w:r>
      <w:r>
        <w:rPr>
          <w:sz w:val="20"/>
          <w:szCs w:val="20"/>
          <w:spacing w:val="69"/>
        </w:rPr>
        <w:t xml:space="preserve"> </w:t>
      </w:r>
      <w:r>
        <w:rPr>
          <w:sz w:val="20"/>
          <w:szCs w:val="20"/>
          <w:spacing w:val="-4"/>
        </w:rPr>
        <w:t>：</w:t>
      </w:r>
      <w:r>
        <w:rPr>
          <w:rFonts w:ascii="Times New Roman" w:hAnsi="Times New Roman" w:eastAsia="Times New Roman" w:cs="Times New Roman"/>
          <w:sz w:val="20"/>
          <w:szCs w:val="20"/>
          <w:spacing w:val="-4"/>
        </w:rPr>
        <w:t>J   D   0   4   J</w:t>
      </w:r>
      <w:r>
        <w:rPr>
          <w:rFonts w:ascii="Times New Roman" w:hAnsi="Times New Roman" w:eastAsia="Times New Roman" w:cs="Times New Roman"/>
          <w:sz w:val="20"/>
          <w:szCs w:val="20"/>
          <w:spacing w:val="23"/>
          <w:w w:val="101"/>
        </w:rPr>
        <w:t xml:space="preserve">  </w:t>
      </w:r>
      <w:r>
        <w:rPr>
          <w:rFonts w:ascii="Times New Roman" w:hAnsi="Times New Roman" w:eastAsia="Times New Roman" w:cs="Times New Roman"/>
          <w:sz w:val="20"/>
          <w:szCs w:val="20"/>
          <w:spacing w:val="-4"/>
        </w:rPr>
        <w:t>W</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spacing w:val="-4"/>
        </w:rPr>
        <w:t>0</w:t>
      </w:r>
      <w:r>
        <w:rPr>
          <w:rFonts w:ascii="Times New Roman" w:hAnsi="Times New Roman" w:eastAsia="Times New Roman" w:cs="Times New Roman"/>
          <w:sz w:val="20"/>
          <w:szCs w:val="20"/>
          <w:spacing w:val="24"/>
          <w:w w:val="101"/>
        </w:rPr>
        <w:t xml:space="preserve">  </w:t>
      </w:r>
      <w:r>
        <w:rPr>
          <w:rFonts w:ascii="Times New Roman" w:hAnsi="Times New Roman" w:eastAsia="Times New Roman" w:cs="Times New Roman"/>
          <w:sz w:val="20"/>
          <w:szCs w:val="20"/>
          <w:spacing w:val="-4"/>
        </w:rPr>
        <w:t>2</w:t>
      </w:r>
      <w:r>
        <w:rPr>
          <w:rFonts w:ascii="Times New Roman" w:hAnsi="Times New Roman" w:eastAsia="Times New Roman" w:cs="Times New Roman"/>
          <w:sz w:val="20"/>
          <w:szCs w:val="20"/>
          <w:spacing w:val="5"/>
        </w:rPr>
        <w:t xml:space="preserve">   </w:t>
      </w:r>
      <w:r>
        <w:rPr>
          <w:rFonts w:ascii="Times New Roman" w:hAnsi="Times New Roman" w:eastAsia="Times New Roman" w:cs="Times New Roman"/>
          <w:sz w:val="20"/>
          <w:szCs w:val="20"/>
          <w:spacing w:val="-4"/>
        </w:rPr>
        <w:t>1</w:t>
      </w:r>
    </w:p>
    <w:p>
      <w:pPr>
        <w:pStyle w:val="BodyText"/>
        <w:ind w:left="14" w:right="153"/>
        <w:spacing w:before="73" w:line="282" w:lineRule="auto"/>
        <w:jc w:val="both"/>
        <w:rPr/>
      </w:pPr>
      <w:r>
        <w:rPr>
          <w:spacing w:val="-21"/>
        </w:rPr>
        <w:t>辩的学生特殊学术专长、有关说明材料及教授推荐信，</w:t>
      </w:r>
      <w:r>
        <w:rPr>
          <w:rFonts w:ascii="SimHei" w:hAnsi="SimHei" w:eastAsia="SimHei" w:cs="SimHei"/>
          <w:spacing w:val="-21"/>
        </w:rPr>
        <w:t>须在学院网站上予以公示，公示</w:t>
      </w:r>
      <w:r>
        <w:rPr>
          <w:rFonts w:ascii="SimHei" w:hAnsi="SimHei" w:eastAsia="SimHei" w:cs="SimHei"/>
          <w:spacing w:val="2"/>
        </w:rPr>
        <w:t xml:space="preserve"> </w:t>
      </w:r>
      <w:r>
        <w:rPr>
          <w:spacing w:val="-18"/>
        </w:rPr>
        <w:t>期不得少于5个工作日，未通过审核鉴定或答辩的学生不得推荐。各学院审核小组要严</w:t>
      </w:r>
      <w:r>
        <w:rPr>
          <w:spacing w:val="13"/>
        </w:rPr>
        <w:t xml:space="preserve"> </w:t>
      </w:r>
      <w:r>
        <w:rPr>
          <w:spacing w:val="-20"/>
        </w:rPr>
        <w:t>把质量要求，切实对审核工作负责。</w:t>
      </w:r>
    </w:p>
    <w:p>
      <w:pPr>
        <w:pStyle w:val="BodyText"/>
        <w:ind w:left="14" w:right="158" w:firstLine="619"/>
        <w:spacing w:before="2" w:line="290" w:lineRule="auto"/>
        <w:rPr/>
      </w:pPr>
      <w:r>
        <w:rPr>
          <w:spacing w:val="-18"/>
        </w:rPr>
        <w:t>(三)学校审核和审定。学校组织专家对申请推免生进行复核，并提交校推免生遴</w:t>
      </w:r>
      <w:r>
        <w:rPr>
          <w:spacing w:val="8"/>
        </w:rPr>
        <w:t xml:space="preserve"> </w:t>
      </w:r>
      <w:r>
        <w:rPr>
          <w:spacing w:val="-19"/>
        </w:rPr>
        <w:t>选工作领导小组审定。</w:t>
      </w:r>
    </w:p>
    <w:p>
      <w:pPr>
        <w:pStyle w:val="BodyText"/>
        <w:ind w:left="504"/>
        <w:spacing w:line="218" w:lineRule="auto"/>
        <w:rPr/>
      </w:pPr>
      <w:r>
        <w:rPr>
          <w:spacing w:val="-16"/>
        </w:rPr>
        <w:t>第十六条推免生本科毕业当年不能有出国留学或参加就业的计划。</w:t>
      </w:r>
    </w:p>
    <w:p>
      <w:pPr>
        <w:spacing w:line="394" w:lineRule="auto"/>
        <w:rPr>
          <w:rFonts w:ascii="Arial"/>
          <w:sz w:val="21"/>
        </w:rPr>
      </w:pPr>
      <w:r/>
    </w:p>
    <w:p>
      <w:pPr>
        <w:ind w:left="2864"/>
        <w:spacing w:before="85" w:line="222" w:lineRule="auto"/>
        <w:rPr>
          <w:rFonts w:ascii="SimHei" w:hAnsi="SimHei" w:eastAsia="SimHei" w:cs="SimHei"/>
          <w:sz w:val="26"/>
          <w:szCs w:val="26"/>
        </w:rPr>
      </w:pPr>
      <w:r>
        <w:rPr>
          <w:rFonts w:ascii="SimHei" w:hAnsi="SimHei" w:eastAsia="SimHei" w:cs="SimHei"/>
          <w:sz w:val="26"/>
          <w:szCs w:val="26"/>
          <w:spacing w:val="-14"/>
        </w:rPr>
        <w:t>第五章</w:t>
      </w:r>
      <w:r>
        <w:rPr>
          <w:rFonts w:ascii="SimHei" w:hAnsi="SimHei" w:eastAsia="SimHei" w:cs="SimHei"/>
          <w:sz w:val="26"/>
          <w:szCs w:val="26"/>
          <w:spacing w:val="108"/>
        </w:rPr>
        <w:t xml:space="preserve"> </w:t>
      </w:r>
      <w:r>
        <w:rPr>
          <w:rFonts w:ascii="SimHei" w:hAnsi="SimHei" w:eastAsia="SimHei" w:cs="SimHei"/>
          <w:sz w:val="26"/>
          <w:szCs w:val="26"/>
          <w:spacing w:val="-14"/>
        </w:rPr>
        <w:t>推免生工作程序和要求</w:t>
      </w:r>
    </w:p>
    <w:p>
      <w:pPr>
        <w:pStyle w:val="BodyText"/>
        <w:ind w:left="14" w:right="160" w:firstLine="489"/>
        <w:spacing w:before="96" w:line="259" w:lineRule="auto"/>
        <w:rPr/>
      </w:pPr>
      <w:r>
        <w:rPr>
          <w:spacing w:val="-16"/>
        </w:rPr>
        <w:t>第十七条推免生工作要按学校统一的工作安排、工</w:t>
      </w:r>
      <w:r>
        <w:rPr>
          <w:spacing w:val="-17"/>
        </w:rPr>
        <w:t>作程序和规定时间进行。</w:t>
      </w:r>
      <w:r>
        <w:rPr>
          <w:rFonts w:ascii="SimHei" w:hAnsi="SimHei" w:eastAsia="SimHei" w:cs="SimHei"/>
          <w:spacing w:val="-17"/>
        </w:rPr>
        <w:t>学校</w:t>
      </w:r>
      <w:r>
        <w:rPr>
          <w:rFonts w:ascii="SimHei" w:hAnsi="SimHei" w:eastAsia="SimHei" w:cs="SimHei"/>
        </w:rPr>
        <w:t xml:space="preserve"> </w:t>
      </w:r>
      <w:r>
        <w:rPr>
          <w:spacing w:val="-21"/>
        </w:rPr>
        <w:t>根据教育部及福建省教育考试院有关文件发布学校年度推荐工作安排，学院应</w:t>
      </w:r>
      <w:r>
        <w:rPr>
          <w:spacing w:val="-22"/>
        </w:rPr>
        <w:t>根据学校</w:t>
      </w:r>
      <w:r>
        <w:rPr/>
        <w:t xml:space="preserve"> </w:t>
      </w:r>
      <w:r>
        <w:rPr>
          <w:spacing w:val="-20"/>
        </w:rPr>
        <w:t>的工作安排及时开展推免生工作。</w:t>
      </w:r>
    </w:p>
    <w:p>
      <w:pPr>
        <w:pStyle w:val="BodyText"/>
        <w:ind w:left="14" w:right="219" w:firstLine="489"/>
        <w:spacing w:before="95" w:line="256" w:lineRule="auto"/>
        <w:rPr/>
      </w:pPr>
      <w:r>
        <w:rPr>
          <w:rFonts w:ascii="SimHei" w:hAnsi="SimHei" w:eastAsia="SimHei" w:cs="SimHei"/>
          <w:spacing w:val="-16"/>
        </w:rPr>
        <w:t>第十八条符合推荐条件的学生，</w:t>
      </w:r>
      <w:r>
        <w:rPr>
          <w:spacing w:val="-16"/>
        </w:rPr>
        <w:t>由本人自愿向所在学院</w:t>
      </w:r>
      <w:r>
        <w:rPr>
          <w:spacing w:val="-17"/>
        </w:rPr>
        <w:t>提出申请，并提交相应证</w:t>
      </w:r>
      <w:r>
        <w:rPr/>
        <w:t xml:space="preserve"> </w:t>
      </w:r>
      <w:r>
        <w:rPr>
          <w:spacing w:val="-14"/>
        </w:rPr>
        <w:t>明材料。</w:t>
      </w:r>
    </w:p>
    <w:p>
      <w:pPr>
        <w:pStyle w:val="BodyText"/>
        <w:ind w:left="14" w:right="159" w:firstLine="489"/>
        <w:spacing w:before="100" w:line="258" w:lineRule="auto"/>
        <w:rPr/>
      </w:pPr>
      <w:r>
        <w:rPr>
          <w:spacing w:val="-12"/>
        </w:rPr>
        <w:t>第十九条各学院以分配名额基数的1.2倍拟</w:t>
      </w:r>
      <w:r>
        <w:rPr>
          <w:spacing w:val="-13"/>
        </w:rPr>
        <w:t>定拟推荐和备选名单，并在学院范围</w:t>
      </w:r>
      <w:r>
        <w:rPr/>
        <w:t xml:space="preserve"> </w:t>
      </w:r>
      <w:r>
        <w:rPr>
          <w:rFonts w:ascii="SimHei" w:hAnsi="SimHei" w:eastAsia="SimHei" w:cs="SimHei"/>
          <w:spacing w:val="-21"/>
        </w:rPr>
        <w:t>内进行公示，公示内容包含姓名、专业、</w:t>
      </w:r>
      <w:r>
        <w:rPr>
          <w:spacing w:val="-21"/>
        </w:rPr>
        <w:t>平均学分绩点、综合成绩、学业成绩、</w:t>
      </w:r>
      <w:r>
        <w:rPr>
          <w:spacing w:val="-22"/>
        </w:rPr>
        <w:t>全面发</w:t>
      </w:r>
      <w:r>
        <w:rPr/>
        <w:t xml:space="preserve"> </w:t>
      </w:r>
      <w:r>
        <w:rPr>
          <w:spacing w:val="-16"/>
        </w:rPr>
        <w:t>展测评成绩、推荐顺序等信息，公示期不得少于5日。未经公示的推免生名单</w:t>
      </w:r>
      <w:r>
        <w:rPr>
          <w:spacing w:val="-17"/>
        </w:rPr>
        <w:t>无效。</w:t>
      </w:r>
    </w:p>
    <w:p>
      <w:pPr>
        <w:pStyle w:val="BodyText"/>
        <w:ind w:left="14" w:right="156" w:firstLine="489"/>
        <w:spacing w:before="108" w:line="270" w:lineRule="auto"/>
        <w:rPr/>
      </w:pPr>
      <w:r>
        <w:rPr>
          <w:spacing w:val="-16"/>
        </w:rPr>
        <w:t>第二十条各学院的拟推荐名单和备选名单按推荐顺序</w:t>
      </w:r>
      <w:r>
        <w:rPr>
          <w:spacing w:val="-17"/>
        </w:rPr>
        <w:t>排序后报送学校推免生遴选</w:t>
      </w:r>
      <w:r>
        <w:rPr/>
        <w:t xml:space="preserve"> </w:t>
      </w:r>
      <w:r>
        <w:rPr>
          <w:spacing w:val="-21"/>
        </w:rPr>
        <w:t>工作领导小组审定。学校将审定通过的名单进行全校范围的公示，公示期限以上</w:t>
      </w:r>
      <w:r>
        <w:rPr>
          <w:spacing w:val="-22"/>
        </w:rPr>
        <w:t>级文件</w:t>
      </w:r>
      <w:r>
        <w:rPr/>
        <w:t xml:space="preserve"> </w:t>
      </w:r>
      <w:r>
        <w:rPr>
          <w:spacing w:val="-21"/>
        </w:rPr>
        <w:t>要求为准。如果因拟推荐人选有异议或本人提出放弃而空出的推免生名额由本学院</w:t>
      </w:r>
      <w:r>
        <w:rPr>
          <w:spacing w:val="-22"/>
        </w:rPr>
        <w:t>的备</w:t>
      </w:r>
      <w:r>
        <w:rPr/>
        <w:t xml:space="preserve"> </w:t>
      </w:r>
      <w:r>
        <w:rPr>
          <w:spacing w:val="-21"/>
        </w:rPr>
        <w:t>选人员依次递补，如果递补后还有多的推免生名额则由学校推免生遴选领导小组进</w:t>
      </w:r>
      <w:r>
        <w:rPr>
          <w:spacing w:val="-22"/>
        </w:rPr>
        <w:t>行统</w:t>
      </w:r>
      <w:r>
        <w:rPr/>
        <w:t xml:space="preserve"> </w:t>
      </w:r>
      <w:r>
        <w:rPr>
          <w:spacing w:val="-21"/>
        </w:rPr>
        <w:t>筹分配。公示期满无异议或异议不成立的，确定为学校推荐名单并由学校上传至教育部</w:t>
      </w:r>
      <w:r>
        <w:rPr/>
        <w:t xml:space="preserve"> </w:t>
      </w:r>
      <w:r>
        <w:rPr>
          <w:spacing w:val="-21"/>
        </w:rPr>
        <w:t>推免服务系统，报福建省教育厅和教育考试院进行政策审核，按要求向教育</w:t>
      </w:r>
      <w:r>
        <w:rPr>
          <w:spacing w:val="-22"/>
        </w:rPr>
        <w:t>部备案，组</w:t>
      </w:r>
      <w:r>
        <w:rPr/>
        <w:t xml:space="preserve"> </w:t>
      </w:r>
      <w:r>
        <w:rPr>
          <w:spacing w:val="-18"/>
        </w:rPr>
        <w:t>织被推荐学生履行相关手续。</w:t>
      </w:r>
    </w:p>
    <w:p>
      <w:pPr>
        <w:pStyle w:val="BodyText"/>
        <w:ind w:left="14" w:right="270" w:firstLine="489"/>
        <w:spacing w:before="133" w:line="248" w:lineRule="auto"/>
        <w:rPr/>
      </w:pPr>
      <w:r>
        <w:rPr>
          <w:spacing w:val="-18"/>
        </w:rPr>
        <w:t>第二十一条获得推免资格的推免生在规定时间内上网注册报名，填写基本信息，</w:t>
      </w:r>
      <w:r>
        <w:rPr>
          <w:spacing w:val="8"/>
        </w:rPr>
        <w:t xml:space="preserve"> </w:t>
      </w:r>
      <w:r>
        <w:rPr>
          <w:spacing w:val="-20"/>
        </w:rPr>
        <w:t>自行选择报名志愿，并网上支付报名费用。</w:t>
      </w:r>
    </w:p>
    <w:p>
      <w:pPr>
        <w:pStyle w:val="BodyText"/>
        <w:ind w:left="504"/>
        <w:spacing w:before="100" w:line="252" w:lineRule="auto"/>
        <w:rPr/>
      </w:pPr>
      <w:r>
        <w:rPr>
          <w:spacing w:val="-17"/>
        </w:rPr>
        <w:t>第二十二条所有推免生均享有依据招生政策自主选择报考招生单位和专业的权利。</w:t>
      </w:r>
      <w:r>
        <w:rPr>
          <w:spacing w:val="1"/>
        </w:rPr>
        <w:t xml:space="preserve"> </w:t>
      </w:r>
      <w:r>
        <w:rPr>
          <w:spacing w:val="-16"/>
        </w:rPr>
        <w:t>第二十三条推免生工作遵照国家有关规定，建立健全回避制度。推免相关工作人</w:t>
      </w:r>
    </w:p>
    <w:p>
      <w:pPr>
        <w:pStyle w:val="BodyText"/>
        <w:ind w:left="14" w:right="178"/>
        <w:spacing w:before="91" w:line="284" w:lineRule="auto"/>
        <w:jc w:val="both"/>
        <w:rPr/>
      </w:pPr>
      <w:r>
        <w:rPr>
          <w:spacing w:val="-22"/>
        </w:rPr>
        <w:t>员，如有直系亲属或其他利益相关者报名参加本校推免的，应主动申请回避；如有非直</w:t>
      </w:r>
      <w:r>
        <w:rPr>
          <w:spacing w:val="16"/>
        </w:rPr>
        <w:t xml:space="preserve"> </w:t>
      </w:r>
      <w:r>
        <w:rPr>
          <w:spacing w:val="-22"/>
        </w:rPr>
        <w:t>系亲属等报名参加本校推免的，应主动向本校报备；本校教职工，特别是领导干部子女</w:t>
      </w:r>
      <w:r>
        <w:rPr>
          <w:spacing w:val="16"/>
        </w:rPr>
        <w:t xml:space="preserve"> </w:t>
      </w:r>
      <w:r>
        <w:rPr>
          <w:spacing w:val="-20"/>
        </w:rPr>
        <w:t>在本校参加推免时，应主动向本校报备，相关干部职工要全程回避。</w:t>
      </w:r>
    </w:p>
    <w:p>
      <w:pPr>
        <w:pStyle w:val="BodyText"/>
        <w:ind w:left="14" w:right="245" w:firstLine="489"/>
        <w:spacing w:before="1" w:line="236" w:lineRule="auto"/>
        <w:rPr>
          <w:sz w:val="25"/>
          <w:szCs w:val="25"/>
        </w:rPr>
      </w:pPr>
      <w:r>
        <w:rPr>
          <w:sz w:val="25"/>
          <w:szCs w:val="25"/>
          <w:spacing w:val="-7"/>
        </w:rPr>
        <w:t>第二十四条推免生工作接受师生监督，纪检监察部门对推免工作进行全程监</w:t>
      </w:r>
      <w:r>
        <w:rPr>
          <w:sz w:val="25"/>
          <w:szCs w:val="25"/>
          <w:spacing w:val="-8"/>
        </w:rPr>
        <w:t>督。</w:t>
      </w:r>
      <w:r>
        <w:rPr>
          <w:sz w:val="25"/>
          <w:szCs w:val="25"/>
        </w:rPr>
        <w:t xml:space="preserve"> </w:t>
      </w:r>
      <w:r>
        <w:rPr>
          <w:sz w:val="25"/>
          <w:szCs w:val="25"/>
          <w:spacing w:val="-10"/>
        </w:rPr>
        <w:t>学校推免生遴选工作领导小组和各学院推免生遴选工作小组应将推免生工作中学生的</w:t>
      </w:r>
    </w:p>
    <w:p>
      <w:pPr>
        <w:spacing w:line="236" w:lineRule="auto"/>
        <w:sectPr>
          <w:footerReference w:type="default" r:id="rId8"/>
          <w:pgSz w:w="11900" w:h="16830"/>
          <w:pgMar w:top="1132" w:right="1290" w:bottom="1500" w:left="1355" w:header="0" w:footer="1105" w:gutter="0"/>
        </w:sectPr>
        <w:rPr>
          <w:sz w:val="25"/>
          <w:szCs w:val="25"/>
        </w:rPr>
      </w:pPr>
    </w:p>
    <w:p>
      <w:pPr>
        <w:ind w:left="2558" w:right="148" w:hanging="2379"/>
        <w:spacing w:before="80" w:line="232" w:lineRule="auto"/>
        <w:rPr>
          <w:rFonts w:ascii="SimHei" w:hAnsi="SimHei" w:eastAsia="SimHei" w:cs="SimHei"/>
          <w:sz w:val="40"/>
          <w:szCs w:val="40"/>
        </w:rPr>
      </w:pPr>
      <w:r>
        <w:rPr>
          <w:rFonts w:ascii="SimHei" w:hAnsi="SimHei" w:eastAsia="SimHei" w:cs="SimHei"/>
          <w:sz w:val="40"/>
          <w:szCs w:val="40"/>
          <w:spacing w:val="-1"/>
        </w:rPr>
        <w:t>集美大学推荐优秀应届本科毕业生免试攻读硕士学</w:t>
      </w:r>
      <w:r>
        <w:rPr>
          <w:rFonts w:ascii="SimHei" w:hAnsi="SimHei" w:eastAsia="SimHei" w:cs="SimHei"/>
          <w:sz w:val="40"/>
          <w:szCs w:val="40"/>
          <w:spacing w:val="2"/>
        </w:rPr>
        <w:t xml:space="preserve"> </w:t>
      </w:r>
      <w:r>
        <w:rPr>
          <w:rFonts w:ascii="SimHei" w:hAnsi="SimHei" w:eastAsia="SimHei" w:cs="SimHei"/>
          <w:sz w:val="40"/>
          <w:szCs w:val="40"/>
          <w:spacing w:val="1"/>
        </w:rPr>
        <w:t>位研究生工作实施办法</w:t>
      </w:r>
    </w:p>
    <w:p>
      <w:pPr>
        <w:pStyle w:val="BodyText"/>
        <w:ind w:left="4787"/>
        <w:spacing w:before="160" w:line="219" w:lineRule="auto"/>
        <w:rPr>
          <w:rFonts w:ascii="Arial" w:hAnsi="Arial" w:eastAsia="Arial" w:cs="Arial"/>
          <w:sz w:val="20"/>
          <w:szCs w:val="20"/>
        </w:rPr>
      </w:pPr>
      <w:r>
        <w:drawing>
          <wp:anchor distT="0" distB="0" distL="0" distR="0" simplePos="0" relativeHeight="251663360" behindDoc="0" locked="0" layoutInCell="1" allowOverlap="1">
            <wp:simplePos x="0" y="0"/>
            <wp:positionH relativeFrom="column">
              <wp:posOffset>0</wp:posOffset>
            </wp:positionH>
            <wp:positionV relativeFrom="paragraph">
              <wp:posOffset>231267</wp:posOffset>
            </wp:positionV>
            <wp:extent cx="5574045" cy="6350"/>
            <wp:effectExtent l="0" t="0" r="0" b="0"/>
            <wp:wrapNone/>
            <wp:docPr id="22" name="IM 22"/>
            <wp:cNvGraphicFramePr/>
            <a:graphic>
              <a:graphicData uri="http://schemas.openxmlformats.org/drawingml/2006/picture">
                <pic:pic>
                  <pic:nvPicPr>
                    <pic:cNvPr id="22" name="IM 22"/>
                    <pic:cNvPicPr/>
                  </pic:nvPicPr>
                  <pic:blipFill>
                    <a:blip r:embed="rId11"/>
                    <a:stretch>
                      <a:fillRect/>
                    </a:stretch>
                  </pic:blipFill>
                  <pic:spPr>
                    <a:xfrm rot="0">
                      <a:off x="0" y="0"/>
                      <a:ext cx="5574045" cy="6350"/>
                    </a:xfrm>
                    <a:prstGeom prst="rect">
                      <a:avLst/>
                    </a:prstGeom>
                  </pic:spPr>
                </pic:pic>
              </a:graphicData>
            </a:graphic>
          </wp:anchor>
        </w:drawing>
      </w:r>
      <w:r>
        <w:rPr>
          <w:sz w:val="20"/>
          <w:szCs w:val="20"/>
          <w:spacing w:val="-6"/>
        </w:rPr>
        <w:t>文</w:t>
      </w:r>
      <w:r>
        <w:rPr>
          <w:sz w:val="20"/>
          <w:szCs w:val="20"/>
          <w:spacing w:val="76"/>
        </w:rPr>
        <w:t xml:space="preserve"> </w:t>
      </w:r>
      <w:r>
        <w:rPr>
          <w:sz w:val="20"/>
          <w:szCs w:val="20"/>
          <w:spacing w:val="-6"/>
        </w:rPr>
        <w:t>件</w:t>
      </w:r>
      <w:r>
        <w:rPr>
          <w:sz w:val="20"/>
          <w:szCs w:val="20"/>
          <w:spacing w:val="68"/>
        </w:rPr>
        <w:t xml:space="preserve"> </w:t>
      </w:r>
      <w:r>
        <w:rPr>
          <w:sz w:val="20"/>
          <w:szCs w:val="20"/>
          <w:spacing w:val="-6"/>
        </w:rPr>
        <w:t>编</w:t>
      </w:r>
      <w:r>
        <w:rPr>
          <w:sz w:val="20"/>
          <w:szCs w:val="20"/>
          <w:spacing w:val="72"/>
        </w:rPr>
        <w:t xml:space="preserve"> </w:t>
      </w:r>
      <w:r>
        <w:rPr>
          <w:sz w:val="20"/>
          <w:szCs w:val="20"/>
          <w:spacing w:val="-6"/>
        </w:rPr>
        <w:t>号</w:t>
      </w:r>
      <w:r>
        <w:rPr>
          <w:sz w:val="20"/>
          <w:szCs w:val="20"/>
          <w:spacing w:val="85"/>
        </w:rPr>
        <w:t xml:space="preserve"> </w:t>
      </w:r>
      <w:r>
        <w:rPr>
          <w:sz w:val="20"/>
          <w:szCs w:val="20"/>
          <w:spacing w:val="-6"/>
        </w:rPr>
        <w:t>：</w:t>
      </w:r>
      <w:r>
        <w:rPr>
          <w:rFonts w:ascii="Arial" w:hAnsi="Arial" w:eastAsia="Arial" w:cs="Arial"/>
          <w:sz w:val="20"/>
          <w:szCs w:val="20"/>
          <w:spacing w:val="-6"/>
        </w:rPr>
        <w:t>J   D</w:t>
      </w:r>
      <w:r>
        <w:rPr>
          <w:rFonts w:ascii="Arial" w:hAnsi="Arial" w:eastAsia="Arial" w:cs="Arial"/>
          <w:sz w:val="20"/>
          <w:szCs w:val="20"/>
        </w:rPr>
        <w:t xml:space="preserve">   </w:t>
      </w:r>
      <w:r>
        <w:rPr>
          <w:rFonts w:ascii="Arial" w:hAnsi="Arial" w:eastAsia="Arial" w:cs="Arial"/>
          <w:sz w:val="20"/>
          <w:szCs w:val="20"/>
          <w:spacing w:val="-6"/>
        </w:rPr>
        <w:t>0   4</w:t>
      </w:r>
      <w:r>
        <w:rPr>
          <w:rFonts w:ascii="Arial" w:hAnsi="Arial" w:eastAsia="Arial" w:cs="Arial"/>
          <w:sz w:val="20"/>
          <w:szCs w:val="20"/>
          <w:spacing w:val="27"/>
        </w:rPr>
        <w:t xml:space="preserve">  </w:t>
      </w:r>
      <w:r>
        <w:rPr>
          <w:rFonts w:ascii="Arial" w:hAnsi="Arial" w:eastAsia="Arial" w:cs="Arial"/>
          <w:sz w:val="20"/>
          <w:szCs w:val="20"/>
          <w:spacing w:val="-6"/>
        </w:rPr>
        <w:t>J</w:t>
      </w:r>
      <w:r>
        <w:rPr>
          <w:rFonts w:ascii="Arial" w:hAnsi="Arial" w:eastAsia="Arial" w:cs="Arial"/>
          <w:sz w:val="20"/>
          <w:szCs w:val="20"/>
          <w:spacing w:val="25"/>
        </w:rPr>
        <w:t xml:space="preserve">  </w:t>
      </w:r>
      <w:r>
        <w:rPr>
          <w:rFonts w:ascii="Arial" w:hAnsi="Arial" w:eastAsia="Arial" w:cs="Arial"/>
          <w:sz w:val="20"/>
          <w:szCs w:val="20"/>
          <w:spacing w:val="-6"/>
        </w:rPr>
        <w:t>W</w:t>
      </w:r>
      <w:r>
        <w:rPr>
          <w:rFonts w:ascii="Arial" w:hAnsi="Arial" w:eastAsia="Arial" w:cs="Arial"/>
          <w:sz w:val="20"/>
          <w:szCs w:val="20"/>
        </w:rPr>
        <w:t xml:space="preserve">   </w:t>
      </w:r>
      <w:r>
        <w:rPr>
          <w:rFonts w:ascii="Arial" w:hAnsi="Arial" w:eastAsia="Arial" w:cs="Arial"/>
          <w:sz w:val="20"/>
          <w:szCs w:val="20"/>
          <w:spacing w:val="-6"/>
        </w:rPr>
        <w:t>0</w:t>
      </w:r>
      <w:r>
        <w:rPr>
          <w:rFonts w:ascii="Arial" w:hAnsi="Arial" w:eastAsia="Arial" w:cs="Arial"/>
          <w:sz w:val="20"/>
          <w:szCs w:val="20"/>
          <w:spacing w:val="27"/>
          <w:w w:val="101"/>
        </w:rPr>
        <w:t xml:space="preserve">  </w:t>
      </w:r>
      <w:r>
        <w:rPr>
          <w:rFonts w:ascii="Arial" w:hAnsi="Arial" w:eastAsia="Arial" w:cs="Arial"/>
          <w:sz w:val="20"/>
          <w:szCs w:val="20"/>
          <w:spacing w:val="-6"/>
        </w:rPr>
        <w:t>2</w:t>
      </w:r>
      <w:r>
        <w:rPr>
          <w:rFonts w:ascii="Arial" w:hAnsi="Arial" w:eastAsia="Arial" w:cs="Arial"/>
          <w:sz w:val="20"/>
          <w:szCs w:val="20"/>
          <w:spacing w:val="5"/>
        </w:rPr>
        <w:t xml:space="preserve">   </w:t>
      </w:r>
      <w:r>
        <w:rPr>
          <w:rFonts w:ascii="Arial" w:hAnsi="Arial" w:eastAsia="Arial" w:cs="Arial"/>
          <w:sz w:val="20"/>
          <w:szCs w:val="20"/>
          <w:spacing w:val="-6"/>
        </w:rPr>
        <w:t>1</w:t>
      </w:r>
    </w:p>
    <w:p>
      <w:pPr>
        <w:pStyle w:val="BodyText"/>
        <w:ind w:right="38"/>
        <w:spacing w:before="64" w:line="284" w:lineRule="auto"/>
        <w:rPr/>
      </w:pPr>
      <w:r>
        <w:rPr>
          <w:spacing w:val="-21"/>
        </w:rPr>
        <w:t>申诉，纳入校内申诉渠道，确保推免工作公开、公平与公正</w:t>
      </w:r>
      <w:r>
        <w:rPr>
          <w:spacing w:val="-22"/>
        </w:rPr>
        <w:t>地进行。凡发现有违反相关</w:t>
      </w:r>
      <w:r>
        <w:rPr/>
        <w:t xml:space="preserve"> </w:t>
      </w:r>
      <w:r>
        <w:rPr>
          <w:spacing w:val="-20"/>
        </w:rPr>
        <w:t>规定的行为，学校将按有关纪律进行处理，并追究有关工作人员的责任。</w:t>
      </w:r>
    </w:p>
    <w:p>
      <w:pPr>
        <w:pStyle w:val="BodyText"/>
        <w:ind w:right="108" w:firstLine="479"/>
        <w:spacing w:before="2" w:line="278" w:lineRule="auto"/>
        <w:rPr/>
      </w:pPr>
      <w:r>
        <w:rPr>
          <w:spacing w:val="-17"/>
        </w:rPr>
        <w:t>第二十五条获得推免生资格的学生，在正式入学前，有以下情况之一者，学校将</w:t>
      </w:r>
      <w:r>
        <w:rPr>
          <w:spacing w:val="15"/>
        </w:rPr>
        <w:t xml:space="preserve"> </w:t>
      </w:r>
      <w:r>
        <w:rPr>
          <w:spacing w:val="-21"/>
        </w:rPr>
        <w:t>取消其推免生资格：</w:t>
      </w:r>
    </w:p>
    <w:p>
      <w:pPr>
        <w:pStyle w:val="BodyText"/>
        <w:ind w:left="609"/>
        <w:spacing w:before="23" w:line="219" w:lineRule="auto"/>
        <w:rPr/>
      </w:pPr>
      <w:r>
        <w:rPr>
          <w:spacing w:val="-16"/>
        </w:rPr>
        <w:t>(一)不能按时完成本科阶段学业，或未取得学士学位者；</w:t>
      </w:r>
    </w:p>
    <w:p>
      <w:pPr>
        <w:pStyle w:val="BodyText"/>
        <w:ind w:left="609"/>
        <w:spacing w:before="83" w:line="219" w:lineRule="auto"/>
        <w:rPr/>
      </w:pPr>
      <w:r>
        <w:rPr>
          <w:spacing w:val="-14"/>
        </w:rPr>
        <w:t>(二)受到法律、行政处罚或学校纪律处分</w:t>
      </w:r>
      <w:r>
        <w:rPr>
          <w:spacing w:val="-15"/>
        </w:rPr>
        <w:t>者；</w:t>
      </w:r>
    </w:p>
    <w:p>
      <w:pPr>
        <w:pStyle w:val="BodyText"/>
        <w:ind w:right="39" w:firstLine="609"/>
        <w:spacing w:before="90" w:line="257" w:lineRule="auto"/>
        <w:rPr>
          <w:sz w:val="25"/>
          <w:szCs w:val="25"/>
        </w:rPr>
      </w:pPr>
      <w:r>
        <w:rPr>
          <w:sz w:val="25"/>
          <w:szCs w:val="25"/>
          <w:spacing w:val="-8"/>
        </w:rPr>
        <w:t>(三)凡在申请推免生过程中弄虚作假的学生，一经查实，即取消推免生资</w:t>
      </w:r>
      <w:r>
        <w:rPr>
          <w:sz w:val="25"/>
          <w:szCs w:val="25"/>
          <w:spacing w:val="-9"/>
        </w:rPr>
        <w:t>格，并</w:t>
      </w:r>
      <w:r>
        <w:rPr>
          <w:sz w:val="25"/>
          <w:szCs w:val="25"/>
        </w:rPr>
        <w:t xml:space="preserve"> </w:t>
      </w:r>
      <w:r>
        <w:rPr>
          <w:sz w:val="25"/>
          <w:szCs w:val="25"/>
          <w:spacing w:val="-11"/>
        </w:rPr>
        <w:t>按学校相关管理规定追究责任。</w:t>
      </w:r>
    </w:p>
    <w:p>
      <w:pPr>
        <w:spacing w:line="391" w:lineRule="auto"/>
        <w:rPr>
          <w:rFonts w:ascii="Arial"/>
          <w:sz w:val="21"/>
        </w:rPr>
      </w:pPr>
      <w:r/>
    </w:p>
    <w:p>
      <w:pPr>
        <w:ind w:left="3819"/>
        <w:spacing w:before="91" w:line="222" w:lineRule="auto"/>
        <w:rPr>
          <w:rFonts w:ascii="SimHei" w:hAnsi="SimHei" w:eastAsia="SimHei" w:cs="SimHei"/>
          <w:sz w:val="28"/>
          <w:szCs w:val="28"/>
        </w:rPr>
      </w:pPr>
      <w:r>
        <w:rPr>
          <w:rFonts w:ascii="SimHei" w:hAnsi="SimHei" w:eastAsia="SimHei" w:cs="SimHei"/>
          <w:sz w:val="28"/>
          <w:szCs w:val="28"/>
          <w:spacing w:val="-22"/>
        </w:rPr>
        <w:t>第六章</w:t>
      </w:r>
      <w:r>
        <w:rPr>
          <w:rFonts w:ascii="SimHei" w:hAnsi="SimHei" w:eastAsia="SimHei" w:cs="SimHei"/>
          <w:sz w:val="28"/>
          <w:szCs w:val="28"/>
          <w:spacing w:val="82"/>
        </w:rPr>
        <w:t xml:space="preserve"> </w:t>
      </w:r>
      <w:r>
        <w:rPr>
          <w:rFonts w:ascii="SimHei" w:hAnsi="SimHei" w:eastAsia="SimHei" w:cs="SimHei"/>
          <w:sz w:val="28"/>
          <w:szCs w:val="28"/>
          <w:spacing w:val="-22"/>
        </w:rPr>
        <w:t>附则</w:t>
      </w:r>
    </w:p>
    <w:p>
      <w:pPr>
        <w:pStyle w:val="BodyText"/>
        <w:ind w:right="34" w:firstLine="479"/>
        <w:spacing w:before="72" w:line="286" w:lineRule="auto"/>
        <w:jc w:val="both"/>
        <w:rPr/>
      </w:pPr>
      <w:r>
        <w:rPr>
          <w:spacing w:val="-17"/>
        </w:rPr>
        <w:t>第二十六条本办法由教务处负责解释，自发布之日起实施，《集美大学推荐优秀</w:t>
      </w:r>
      <w:r>
        <w:rPr>
          <w:spacing w:val="15"/>
        </w:rPr>
        <w:t xml:space="preserve"> </w:t>
      </w:r>
      <w:r>
        <w:rPr>
          <w:spacing w:val="-10"/>
        </w:rPr>
        <w:t>应届本科毕业生免试攻读硕士学位研究生工作实施办法(修订)》(集大教〔2</w:t>
      </w:r>
      <w:r>
        <w:rPr>
          <w:spacing w:val="-11"/>
        </w:rPr>
        <w:t>024〕13</w:t>
      </w:r>
      <w:r>
        <w:rPr/>
        <w:t xml:space="preserve"> </w:t>
      </w:r>
      <w:r>
        <w:rPr>
          <w:spacing w:val="-18"/>
        </w:rPr>
        <w:t>号)同时废止。其他未尽事宜或有变化，由学校讨论研究；如遇教育部等上级有关政策</w:t>
      </w:r>
      <w:r>
        <w:rPr>
          <w:spacing w:val="3"/>
        </w:rPr>
        <w:t xml:space="preserve"> </w:t>
      </w:r>
      <w:r>
        <w:rPr>
          <w:spacing w:val="-20"/>
        </w:rPr>
        <w:t>调整，以上级政策规定为准。</w:t>
      </w:r>
    </w:p>
    <w:p>
      <w:pPr>
        <w:spacing w:line="305" w:lineRule="auto"/>
        <w:rPr>
          <w:rFonts w:ascii="Arial"/>
          <w:sz w:val="21"/>
        </w:rPr>
      </w:pPr>
      <w:r/>
    </w:p>
    <w:p>
      <w:pPr>
        <w:pStyle w:val="BodyText"/>
        <w:ind w:left="479"/>
        <w:spacing w:before="85" w:line="219" w:lineRule="auto"/>
        <w:rPr/>
      </w:pPr>
      <w:r>
        <w:rPr>
          <w:spacing w:val="-11"/>
        </w:rPr>
        <w:t>备注：集大综发[2025]9号</w:t>
      </w:r>
    </w:p>
    <w:sectPr>
      <w:footerReference w:type="default" r:id="rId10"/>
      <w:pgSz w:w="11900" w:h="16830"/>
      <w:pgMar w:top="1132" w:right="1410" w:bottom="1439" w:left="1380" w:header="0" w:footer="1095"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KaiTi">
    <w:panose1 w:val="02010609060101010101"/>
    <w:charset w:val="86"/>
    <w:family w:val="auto"/>
    <w:pitch w:val="default"/>
    <w:sig w:usb0="800002BF" w:usb1="38CF7CFA" w:usb2="00000016" w:usb3="00000000" w:csb0="00040001" w:csb1="00000000"/>
  </w:font>
  <w:font w:name="STXingkai">
    <w:panose1 w:val="02010800040101010101"/>
    <w:charset w:val="86"/>
    <w:family w:val="auto"/>
    <w:pitch w:val="variable"/>
    <w:sig w:usb0="00000001" w:usb1="080F0000" w:usb2="00000000" w:usb3="00000000" w:csb0="00040000" w:csb1="00000000"/>
  </w:font>
  <w:font w:name="Times New Roman">
    <w:panose1 w:val="02020603050405020304"/>
    <w:charset w:val="00"/>
    <w:family w:val="auto"/>
    <w:pitch w:val="variable"/>
    <w:sig w:usb0="E0002EFF" w:usb1="C000785B" w:usb2="00000009" w:usb3="00000000" w:csb0="400001FF" w:csb1="FFFF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88" w:line="218" w:lineRule="auto"/>
      <w:rPr>
        <w:rFonts w:ascii="KaiTi" w:hAnsi="KaiTi" w:eastAsia="KaiTi" w:cs="KaiTi"/>
        <w:sz w:val="22"/>
        <w:szCs w:val="22"/>
      </w:rPr>
    </w:pPr>
    <w:r>
      <w:drawing>
        <wp:anchor distT="0" distB="0" distL="0" distR="0" simplePos="0" relativeHeight="251658240" behindDoc="0" locked="0" layoutInCell="0" allowOverlap="1">
          <wp:simplePos x="0" y="0"/>
          <wp:positionH relativeFrom="page">
            <wp:posOffset>869979</wp:posOffset>
          </wp:positionH>
          <wp:positionV relativeFrom="page">
            <wp:posOffset>9738614</wp:posOffset>
          </wp:positionV>
          <wp:extent cx="5765760" cy="8255"/>
          <wp:effectExtent l="0" t="0" r="0" b="0"/>
          <wp:wrapNone/>
          <wp:docPr id="4" name="IM 4"/>
          <wp:cNvGraphicFramePr/>
          <a:graphic>
            <a:graphicData uri="http://schemas.openxmlformats.org/drawingml/2006/picture">
              <pic:pic>
                <pic:nvPicPr>
                  <pic:cNvPr id="4" name="IM 4"/>
                  <pic:cNvPicPr/>
                </pic:nvPicPr>
                <pic:blipFill>
                  <a:blip r:embed="rId1"/>
                  <a:stretch>
                    <a:fillRect/>
                  </a:stretch>
                </pic:blipFill>
                <pic:spPr>
                  <a:xfrm rot="0">
                    <a:off x="0" y="0"/>
                    <a:ext cx="5765760" cy="8255"/>
                  </a:xfrm>
                  <a:prstGeom prst="rect">
                    <a:avLst/>
                  </a:prstGeom>
                </pic:spPr>
              </pic:pic>
            </a:graphicData>
          </a:graphic>
        </wp:anchor>
      </w:drawing>
    </w:r>
    <w:r>
      <w:rPr>
        <w:rFonts w:ascii="KaiTi" w:hAnsi="KaiTi" w:eastAsia="KaiTi" w:cs="KaiTi"/>
        <w:sz w:val="20"/>
        <w:szCs w:val="20"/>
        <w:spacing w:val="-1"/>
      </w:rPr>
      <w:t>版本/版次：</w:t>
    </w:r>
    <w:r>
      <w:rPr>
        <w:rFonts w:ascii="Arial" w:hAnsi="Arial" w:eastAsia="Arial" w:cs="Arial"/>
        <w:sz w:val="20"/>
        <w:szCs w:val="20"/>
        <w:spacing w:val="-1"/>
      </w:rPr>
      <w:t>H/1                                                                                  </w:t>
    </w:r>
    <w:r>
      <w:rPr>
        <w:rFonts w:ascii="Arial" w:hAnsi="Arial" w:eastAsia="Arial" w:cs="Arial"/>
        <w:sz w:val="20"/>
        <w:szCs w:val="20"/>
        <w:spacing w:val="-2"/>
      </w:rPr>
      <w:t xml:space="preserve">                             </w:t>
    </w:r>
    <w:r>
      <w:rPr>
        <w:rFonts w:ascii="SimHei" w:hAnsi="SimHei" w:eastAsia="SimHei" w:cs="SimHei"/>
        <w:sz w:val="22"/>
        <w:szCs w:val="22"/>
        <w:spacing w:val="-2"/>
      </w:rPr>
      <w:t>第</w:t>
    </w:r>
    <w:r>
      <w:rPr>
        <w:rFonts w:ascii="SimHei" w:hAnsi="SimHei" w:eastAsia="SimHei" w:cs="SimHei"/>
        <w:sz w:val="22"/>
        <w:szCs w:val="22"/>
        <w:spacing w:val="-2"/>
      </w:rPr>
      <w:t xml:space="preserve"> </w:t>
    </w:r>
    <w:r>
      <w:rPr>
        <w:rFonts w:ascii="SimHei" w:hAnsi="SimHei" w:eastAsia="SimHei" w:cs="SimHei"/>
        <w:sz w:val="22"/>
        <w:szCs w:val="22"/>
        <w:spacing w:val="-2"/>
      </w:rPr>
      <w:t>2</w:t>
    </w:r>
    <w:r>
      <w:rPr>
        <w:rFonts w:ascii="SimHei" w:hAnsi="SimHei" w:eastAsia="SimHei" w:cs="SimHei"/>
        <w:sz w:val="22"/>
        <w:szCs w:val="22"/>
        <w:spacing w:val="-2"/>
      </w:rPr>
      <w:t xml:space="preserve"> </w:t>
    </w:r>
    <w:r>
      <w:rPr>
        <w:rFonts w:ascii="KaiTi" w:hAnsi="KaiTi" w:eastAsia="KaiTi" w:cs="KaiTi"/>
        <w:sz w:val="22"/>
        <w:szCs w:val="22"/>
        <w:spacing w:val="-2"/>
      </w:rPr>
      <w:t>页</w:t>
    </w:r>
    <w:r>
      <w:rPr>
        <w:rFonts w:ascii="KaiTi" w:hAnsi="KaiTi" w:eastAsia="KaiTi" w:cs="KaiTi"/>
        <w:sz w:val="22"/>
        <w:szCs w:val="22"/>
        <w:spacing w:val="-2"/>
      </w:rPr>
      <w:t xml:space="preserve"> </w:t>
    </w:r>
    <w:r>
      <w:rPr>
        <w:rFonts w:ascii="KaiTi" w:hAnsi="KaiTi" w:eastAsia="KaiTi" w:cs="KaiTi"/>
        <w:sz w:val="22"/>
        <w:szCs w:val="22"/>
        <w:spacing w:val="-2"/>
      </w:rPr>
      <w:t>共</w:t>
    </w:r>
    <w:r>
      <w:rPr>
        <w:rFonts w:ascii="KaiTi" w:hAnsi="KaiTi" w:eastAsia="KaiTi" w:cs="KaiTi"/>
        <w:sz w:val="22"/>
        <w:szCs w:val="22"/>
        <w:spacing w:val="-2"/>
      </w:rPr>
      <w:t xml:space="preserve"> </w:t>
    </w:r>
    <w:r>
      <w:rPr>
        <w:rFonts w:ascii="KaiTi" w:hAnsi="KaiTi" w:eastAsia="KaiTi" w:cs="KaiTi"/>
        <w:sz w:val="22"/>
        <w:szCs w:val="22"/>
        <w:spacing w:val="-2"/>
      </w:rPr>
      <w:t>6</w:t>
    </w:r>
    <w:r>
      <w:rPr>
        <w:rFonts w:ascii="KaiTi" w:hAnsi="KaiTi" w:eastAsia="KaiTi" w:cs="KaiTi"/>
        <w:sz w:val="22"/>
        <w:szCs w:val="22"/>
        <w:spacing w:val="-2"/>
      </w:rPr>
      <w:t xml:space="preserve"> </w:t>
    </w:r>
    <w:r>
      <w:rPr>
        <w:rFonts w:ascii="KaiTi" w:hAnsi="KaiTi" w:eastAsia="KaiTi" w:cs="KaiTi"/>
        <w:sz w:val="22"/>
        <w:szCs w:val="22"/>
        <w:spacing w:val="-2"/>
      </w:rPr>
      <w:t>页</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
      <w:spacing w:before="84" w:line="225" w:lineRule="auto"/>
      <w:rPr>
        <w:rFonts w:ascii="KaiTi" w:hAnsi="KaiTi" w:eastAsia="KaiTi" w:cs="KaiTi"/>
        <w:sz w:val="22"/>
        <w:szCs w:val="22"/>
      </w:rPr>
    </w:pPr>
    <w:r>
      <w:drawing>
        <wp:anchor distT="0" distB="0" distL="0" distR="0" simplePos="0" relativeHeight="251659264" behindDoc="0" locked="0" layoutInCell="0" allowOverlap="1">
          <wp:simplePos x="0" y="0"/>
          <wp:positionH relativeFrom="page">
            <wp:posOffset>870866</wp:posOffset>
          </wp:positionH>
          <wp:positionV relativeFrom="page">
            <wp:posOffset>9725985</wp:posOffset>
          </wp:positionV>
          <wp:extent cx="5772831" cy="7937"/>
          <wp:effectExtent l="0" t="0" r="0" b="0"/>
          <wp:wrapNone/>
          <wp:docPr id="8" name="IM 8"/>
          <wp:cNvGraphicFramePr/>
          <a:graphic>
            <a:graphicData uri="http://schemas.openxmlformats.org/drawingml/2006/picture">
              <pic:pic>
                <pic:nvPicPr>
                  <pic:cNvPr id="8" name="IM 8"/>
                  <pic:cNvPicPr/>
                </pic:nvPicPr>
                <pic:blipFill>
                  <a:blip r:embed="rId1"/>
                  <a:stretch>
                    <a:fillRect/>
                  </a:stretch>
                </pic:blipFill>
                <pic:spPr>
                  <a:xfrm rot="0">
                    <a:off x="0" y="0"/>
                    <a:ext cx="5772831" cy="7937"/>
                  </a:xfrm>
                  <a:prstGeom prst="rect">
                    <a:avLst/>
                  </a:prstGeom>
                </pic:spPr>
              </pic:pic>
            </a:graphicData>
          </a:graphic>
        </wp:anchor>
      </w:drawing>
    </w:r>
    <w:r>
      <w:rPr>
        <w:rFonts w:ascii="KaiTi" w:hAnsi="KaiTi" w:eastAsia="KaiTi" w:cs="KaiTi"/>
        <w:sz w:val="20"/>
        <w:szCs w:val="20"/>
        <w:spacing w:val="-1"/>
      </w:rPr>
      <w:t>版本/版次：</w:t>
    </w:r>
    <w:r>
      <w:rPr>
        <w:rFonts w:ascii="Arial" w:hAnsi="Arial" w:eastAsia="Arial" w:cs="Arial"/>
        <w:sz w:val="20"/>
        <w:szCs w:val="20"/>
        <w:spacing w:val="-1"/>
      </w:rPr>
      <w:t>H/1                                              </w:t>
    </w:r>
    <w:r>
      <w:rPr>
        <w:rFonts w:ascii="Arial" w:hAnsi="Arial" w:eastAsia="Arial" w:cs="Arial"/>
        <w:sz w:val="20"/>
        <w:szCs w:val="20"/>
        <w:spacing w:val="-2"/>
      </w:rPr>
      <w:t xml:space="preserve">                                                                  </w:t>
    </w:r>
    <w:r>
      <w:rPr>
        <w:rFonts w:ascii="STXingkai" w:hAnsi="STXingkai" w:eastAsia="STXingkai" w:cs="STXingkai"/>
        <w:sz w:val="22"/>
        <w:szCs w:val="22"/>
        <w:spacing w:val="-2"/>
      </w:rPr>
      <w:t>第  3  </w:t>
    </w:r>
    <w:r>
      <w:rPr>
        <w:rFonts w:ascii="KaiTi" w:hAnsi="KaiTi" w:eastAsia="KaiTi" w:cs="KaiTi"/>
        <w:sz w:val="22"/>
        <w:szCs w:val="22"/>
        <w:spacing w:val="-2"/>
      </w:rPr>
      <w:t>页</w:t>
    </w:r>
    <w:r>
      <w:rPr>
        <w:rFonts w:ascii="KaiTi" w:hAnsi="KaiTi" w:eastAsia="KaiTi" w:cs="KaiTi"/>
        <w:sz w:val="22"/>
        <w:szCs w:val="22"/>
        <w:spacing w:val="-2"/>
      </w:rPr>
      <w:t xml:space="preserve"> </w:t>
    </w:r>
    <w:r>
      <w:rPr>
        <w:rFonts w:ascii="KaiTi" w:hAnsi="KaiTi" w:eastAsia="KaiTi" w:cs="KaiTi"/>
        <w:sz w:val="22"/>
        <w:szCs w:val="22"/>
        <w:spacing w:val="-2"/>
      </w:rPr>
      <w:t>共</w:t>
    </w:r>
    <w:r>
      <w:rPr>
        <w:rFonts w:ascii="KaiTi" w:hAnsi="KaiTi" w:eastAsia="KaiTi" w:cs="KaiTi"/>
        <w:sz w:val="22"/>
        <w:szCs w:val="22"/>
        <w:spacing w:val="-2"/>
      </w:rPr>
      <w:t xml:space="preserve"> </w:t>
    </w:r>
    <w:r>
      <w:rPr>
        <w:rFonts w:ascii="KaiTi" w:hAnsi="KaiTi" w:eastAsia="KaiTi" w:cs="KaiTi"/>
        <w:sz w:val="22"/>
        <w:szCs w:val="22"/>
        <w:spacing w:val="-2"/>
      </w:rPr>
      <w:t>6</w:t>
    </w:r>
    <w:r>
      <w:rPr>
        <w:rFonts w:ascii="KaiTi" w:hAnsi="KaiTi" w:eastAsia="KaiTi" w:cs="KaiTi"/>
        <w:sz w:val="22"/>
        <w:szCs w:val="22"/>
        <w:spacing w:val="-2"/>
      </w:rPr>
      <w:t xml:space="preserve"> </w:t>
    </w:r>
    <w:r>
      <w:rPr>
        <w:rFonts w:ascii="KaiTi" w:hAnsi="KaiTi" w:eastAsia="KaiTi" w:cs="KaiTi"/>
        <w:sz w:val="22"/>
        <w:szCs w:val="22"/>
        <w:spacing w:val="-2"/>
      </w:rPr>
      <w:t>页</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2"/>
      <w:spacing w:before="135" w:line="216" w:lineRule="auto"/>
      <w:rPr>
        <w:rFonts w:ascii="KaiTi" w:hAnsi="KaiTi" w:eastAsia="KaiTi" w:cs="KaiTi"/>
        <w:sz w:val="22"/>
        <w:szCs w:val="22"/>
      </w:rPr>
    </w:pPr>
    <w:r>
      <w:drawing>
        <wp:anchor distT="0" distB="0" distL="0" distR="0" simplePos="0" relativeHeight="251660288" behindDoc="0" locked="0" layoutInCell="0" allowOverlap="1">
          <wp:simplePos x="0" y="0"/>
          <wp:positionH relativeFrom="page">
            <wp:posOffset>862232</wp:posOffset>
          </wp:positionH>
          <wp:positionV relativeFrom="page">
            <wp:posOffset>9700955</wp:posOffset>
          </wp:positionV>
          <wp:extent cx="5773085" cy="8255"/>
          <wp:effectExtent l="0" t="0" r="0" b="0"/>
          <wp:wrapNone/>
          <wp:docPr id="12" name="IM 12"/>
          <wp:cNvGraphicFramePr/>
          <a:graphic>
            <a:graphicData uri="http://schemas.openxmlformats.org/drawingml/2006/picture">
              <pic:pic>
                <pic:nvPicPr>
                  <pic:cNvPr id="12" name="IM 12"/>
                  <pic:cNvPicPr/>
                </pic:nvPicPr>
                <pic:blipFill>
                  <a:blip r:embed="rId1"/>
                  <a:stretch>
                    <a:fillRect/>
                  </a:stretch>
                </pic:blipFill>
                <pic:spPr>
                  <a:xfrm rot="0">
                    <a:off x="0" y="0"/>
                    <a:ext cx="5773085" cy="8255"/>
                  </a:xfrm>
                  <a:prstGeom prst="rect">
                    <a:avLst/>
                  </a:prstGeom>
                </pic:spPr>
              </pic:pic>
            </a:graphicData>
          </a:graphic>
        </wp:anchor>
      </w:drawing>
    </w:r>
    <w:r>
      <w:rPr>
        <w:rFonts w:ascii="KaiTi" w:hAnsi="KaiTi" w:eastAsia="KaiTi" w:cs="KaiTi"/>
        <w:sz w:val="20"/>
        <w:szCs w:val="20"/>
        <w:spacing w:val="-1"/>
      </w:rPr>
      <w:t>版本/版次：</w:t>
    </w:r>
    <w:r>
      <w:rPr>
        <w:rFonts w:ascii="Arial" w:hAnsi="Arial" w:eastAsia="Arial" w:cs="Arial"/>
        <w:sz w:val="20"/>
        <w:szCs w:val="20"/>
        <w:spacing w:val="-1"/>
      </w:rPr>
      <w:t>H/1                                                                                                      </w:t>
    </w:r>
    <w:r>
      <w:rPr>
        <w:rFonts w:ascii="Arial" w:hAnsi="Arial" w:eastAsia="Arial" w:cs="Arial"/>
        <w:sz w:val="20"/>
        <w:szCs w:val="20"/>
        <w:spacing w:val="-2"/>
      </w:rPr>
      <w:t xml:space="preserve">         </w:t>
    </w:r>
    <w:r>
      <w:rPr>
        <w:rFonts w:ascii="KaiTi" w:hAnsi="KaiTi" w:eastAsia="KaiTi" w:cs="KaiTi"/>
        <w:sz w:val="22"/>
        <w:szCs w:val="22"/>
        <w:spacing w:val="-2"/>
      </w:rPr>
      <w:t>第</w:t>
    </w:r>
    <w:r>
      <w:rPr>
        <w:rFonts w:ascii="KaiTi" w:hAnsi="KaiTi" w:eastAsia="KaiTi" w:cs="KaiTi"/>
        <w:sz w:val="22"/>
        <w:szCs w:val="22"/>
        <w:spacing w:val="-2"/>
      </w:rPr>
      <w:t xml:space="preserve"> </w:t>
    </w:r>
    <w:r>
      <w:rPr>
        <w:rFonts w:ascii="KaiTi" w:hAnsi="KaiTi" w:eastAsia="KaiTi" w:cs="KaiTi"/>
        <w:sz w:val="22"/>
        <w:szCs w:val="22"/>
        <w:spacing w:val="-2"/>
      </w:rPr>
      <w:t>4</w:t>
    </w:r>
    <w:r>
      <w:rPr>
        <w:rFonts w:ascii="KaiTi" w:hAnsi="KaiTi" w:eastAsia="KaiTi" w:cs="KaiTi"/>
        <w:sz w:val="22"/>
        <w:szCs w:val="22"/>
        <w:spacing w:val="-2"/>
      </w:rPr>
      <w:t xml:space="preserve"> </w:t>
    </w:r>
    <w:r>
      <w:rPr>
        <w:rFonts w:ascii="KaiTi" w:hAnsi="KaiTi" w:eastAsia="KaiTi" w:cs="KaiTi"/>
        <w:sz w:val="22"/>
        <w:szCs w:val="22"/>
        <w:spacing w:val="-2"/>
      </w:rPr>
      <w:t>页</w:t>
    </w:r>
    <w:r>
      <w:rPr>
        <w:rFonts w:ascii="KaiTi" w:hAnsi="KaiTi" w:eastAsia="KaiTi" w:cs="KaiTi"/>
        <w:sz w:val="22"/>
        <w:szCs w:val="22"/>
        <w:spacing w:val="-2"/>
      </w:rPr>
      <w:t xml:space="preserve"> </w:t>
    </w:r>
    <w:r>
      <w:rPr>
        <w:rFonts w:ascii="KaiTi" w:hAnsi="KaiTi" w:eastAsia="KaiTi" w:cs="KaiTi"/>
        <w:sz w:val="22"/>
        <w:szCs w:val="22"/>
        <w:spacing w:val="-2"/>
      </w:rPr>
      <w:t>共</w:t>
    </w:r>
    <w:r>
      <w:rPr>
        <w:rFonts w:ascii="KaiTi" w:hAnsi="KaiTi" w:eastAsia="KaiTi" w:cs="KaiTi"/>
        <w:sz w:val="22"/>
        <w:szCs w:val="22"/>
        <w:spacing w:val="-2"/>
      </w:rPr>
      <w:t xml:space="preserve"> </w:t>
    </w:r>
    <w:r>
      <w:rPr>
        <w:rFonts w:ascii="KaiTi" w:hAnsi="KaiTi" w:eastAsia="KaiTi" w:cs="KaiTi"/>
        <w:sz w:val="22"/>
        <w:szCs w:val="22"/>
        <w:spacing w:val="-2"/>
      </w:rPr>
      <w:t>6</w:t>
    </w:r>
    <w:r>
      <w:rPr>
        <w:rFonts w:ascii="KaiTi" w:hAnsi="KaiTi" w:eastAsia="KaiTi" w:cs="KaiTi"/>
        <w:sz w:val="22"/>
        <w:szCs w:val="22"/>
        <w:spacing w:val="-2"/>
      </w:rPr>
      <w:t xml:space="preserve"> </w:t>
    </w:r>
    <w:r>
      <w:rPr>
        <w:rFonts w:ascii="KaiTi" w:hAnsi="KaiTi" w:eastAsia="KaiTi" w:cs="KaiTi"/>
        <w:sz w:val="22"/>
        <w:szCs w:val="22"/>
        <w:spacing w:val="-2"/>
      </w:rPr>
      <w:t>页</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4"/>
      <w:spacing w:before="83" w:line="225" w:lineRule="auto"/>
      <w:rPr>
        <w:rFonts w:ascii="KaiTi" w:hAnsi="KaiTi" w:eastAsia="KaiTi" w:cs="KaiTi"/>
        <w:sz w:val="22"/>
        <w:szCs w:val="22"/>
      </w:rPr>
    </w:pPr>
    <w:r>
      <w:drawing>
        <wp:anchor distT="0" distB="0" distL="0" distR="0" simplePos="0" relativeHeight="251661312" behindDoc="0" locked="0" layoutInCell="0" allowOverlap="1">
          <wp:simplePos x="0" y="0"/>
          <wp:positionH relativeFrom="page">
            <wp:posOffset>860964</wp:posOffset>
          </wp:positionH>
          <wp:positionV relativeFrom="page">
            <wp:posOffset>9726461</wp:posOffset>
          </wp:positionV>
          <wp:extent cx="5653321" cy="7937"/>
          <wp:effectExtent l="0" t="0" r="0" b="0"/>
          <wp:wrapNone/>
          <wp:docPr id="16" name="IM 16"/>
          <wp:cNvGraphicFramePr/>
          <a:graphic>
            <a:graphicData uri="http://schemas.openxmlformats.org/drawingml/2006/picture">
              <pic:pic>
                <pic:nvPicPr>
                  <pic:cNvPr id="16" name="IM 16"/>
                  <pic:cNvPicPr/>
                </pic:nvPicPr>
                <pic:blipFill>
                  <a:blip r:embed="rId1"/>
                  <a:stretch>
                    <a:fillRect/>
                  </a:stretch>
                </pic:blipFill>
                <pic:spPr>
                  <a:xfrm rot="0">
                    <a:off x="0" y="0"/>
                    <a:ext cx="5653321" cy="7937"/>
                  </a:xfrm>
                  <a:prstGeom prst="rect">
                    <a:avLst/>
                  </a:prstGeom>
                </pic:spPr>
              </pic:pic>
            </a:graphicData>
          </a:graphic>
        </wp:anchor>
      </w:drawing>
    </w:r>
    <w:r>
      <w:rPr>
        <w:rFonts w:ascii="KaiTi" w:hAnsi="KaiTi" w:eastAsia="KaiTi" w:cs="KaiTi"/>
        <w:sz w:val="20"/>
        <w:szCs w:val="20"/>
        <w:spacing w:val="-1"/>
      </w:rPr>
      <w:t>版本/版次：</w:t>
    </w:r>
    <w:r>
      <w:rPr>
        <w:rFonts w:ascii="Arial" w:hAnsi="Arial" w:eastAsia="Arial" w:cs="Arial"/>
        <w:sz w:val="20"/>
        <w:szCs w:val="20"/>
        <w:spacing w:val="-1"/>
      </w:rPr>
      <w:t>H/1                                                                          </w:t>
    </w:r>
    <w:r>
      <w:rPr>
        <w:rFonts w:ascii="Arial" w:hAnsi="Arial" w:eastAsia="Arial" w:cs="Arial"/>
        <w:sz w:val="20"/>
        <w:szCs w:val="20"/>
        <w:spacing w:val="-2"/>
      </w:rPr>
      <w:t xml:space="preserve">                                      </w:t>
    </w:r>
    <w:r>
      <w:rPr>
        <w:rFonts w:ascii="STXingkai" w:hAnsi="STXingkai" w:eastAsia="STXingkai" w:cs="STXingkai"/>
        <w:sz w:val="22"/>
        <w:szCs w:val="22"/>
        <w:spacing w:val="-2"/>
      </w:rPr>
      <w:t>第  5  </w:t>
    </w:r>
    <w:r>
      <w:rPr>
        <w:rFonts w:ascii="KaiTi" w:hAnsi="KaiTi" w:eastAsia="KaiTi" w:cs="KaiTi"/>
        <w:sz w:val="22"/>
        <w:szCs w:val="22"/>
        <w:spacing w:val="-2"/>
      </w:rPr>
      <w:t>页</w:t>
    </w:r>
    <w:r>
      <w:rPr>
        <w:rFonts w:ascii="KaiTi" w:hAnsi="KaiTi" w:eastAsia="KaiTi" w:cs="KaiTi"/>
        <w:sz w:val="22"/>
        <w:szCs w:val="22"/>
        <w:spacing w:val="-2"/>
      </w:rPr>
      <w:t xml:space="preserve"> </w:t>
    </w:r>
    <w:r>
      <w:rPr>
        <w:rFonts w:ascii="KaiTi" w:hAnsi="KaiTi" w:eastAsia="KaiTi" w:cs="KaiTi"/>
        <w:sz w:val="22"/>
        <w:szCs w:val="22"/>
        <w:spacing w:val="-2"/>
      </w:rPr>
      <w:t>共</w:t>
    </w:r>
    <w:r>
      <w:rPr>
        <w:rFonts w:ascii="KaiTi" w:hAnsi="KaiTi" w:eastAsia="KaiTi" w:cs="KaiTi"/>
        <w:sz w:val="22"/>
        <w:szCs w:val="22"/>
        <w:spacing w:val="-2"/>
      </w:rPr>
      <w:t xml:space="preserve"> </w:t>
    </w:r>
    <w:r>
      <w:rPr>
        <w:rFonts w:ascii="KaiTi" w:hAnsi="KaiTi" w:eastAsia="KaiTi" w:cs="KaiTi"/>
        <w:sz w:val="22"/>
        <w:szCs w:val="22"/>
        <w:spacing w:val="-2"/>
      </w:rPr>
      <w:t>6</w:t>
    </w:r>
    <w:r>
      <w:rPr>
        <w:rFonts w:ascii="KaiTi" w:hAnsi="KaiTi" w:eastAsia="KaiTi" w:cs="KaiTi"/>
        <w:sz w:val="22"/>
        <w:szCs w:val="22"/>
        <w:spacing w:val="-2"/>
      </w:rPr>
      <w:t xml:space="preserve"> </w:t>
    </w:r>
    <w:r>
      <w:rPr>
        <w:rFonts w:ascii="KaiTi" w:hAnsi="KaiTi" w:eastAsia="KaiTi" w:cs="KaiTi"/>
        <w:sz w:val="22"/>
        <w:szCs w:val="22"/>
        <w:spacing w:val="-2"/>
      </w:rPr>
      <w:t>页</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33" w:line="225" w:lineRule="auto"/>
      <w:rPr>
        <w:rFonts w:ascii="KaiTi" w:hAnsi="KaiTi" w:eastAsia="KaiTi" w:cs="KaiTi"/>
        <w:sz w:val="22"/>
        <w:szCs w:val="22"/>
      </w:rPr>
    </w:pPr>
    <w:r>
      <w:drawing>
        <wp:anchor distT="0" distB="0" distL="0" distR="0" simplePos="0" relativeHeight="251662336" behindDoc="0" locked="0" layoutInCell="0" allowOverlap="1">
          <wp:simplePos x="0" y="0"/>
          <wp:positionH relativeFrom="page">
            <wp:posOffset>876327</wp:posOffset>
          </wp:positionH>
          <wp:positionV relativeFrom="page">
            <wp:posOffset>9772643</wp:posOffset>
          </wp:positionV>
          <wp:extent cx="5784803" cy="6350"/>
          <wp:effectExtent l="0" t="0" r="0" b="0"/>
          <wp:wrapNone/>
          <wp:docPr id="20" name="IM 20"/>
          <wp:cNvGraphicFramePr/>
          <a:graphic>
            <a:graphicData uri="http://schemas.openxmlformats.org/drawingml/2006/picture">
              <pic:pic>
                <pic:nvPicPr>
                  <pic:cNvPr id="20" name="IM 20"/>
                  <pic:cNvPicPr/>
                </pic:nvPicPr>
                <pic:blipFill>
                  <a:blip r:embed="rId1"/>
                  <a:stretch>
                    <a:fillRect/>
                  </a:stretch>
                </pic:blipFill>
                <pic:spPr>
                  <a:xfrm rot="0">
                    <a:off x="0" y="0"/>
                    <a:ext cx="5784803" cy="6350"/>
                  </a:xfrm>
                  <a:prstGeom prst="rect">
                    <a:avLst/>
                  </a:prstGeom>
                </pic:spPr>
              </pic:pic>
            </a:graphicData>
          </a:graphic>
        </wp:anchor>
      </w:drawing>
    </w:r>
    <w:r>
      <w:rPr>
        <w:rFonts w:ascii="KaiTi" w:hAnsi="KaiTi" w:eastAsia="KaiTi" w:cs="KaiTi"/>
        <w:sz w:val="20"/>
        <w:szCs w:val="20"/>
        <w:spacing w:val="-2"/>
      </w:rPr>
      <w:t>版本/版次：</w:t>
    </w:r>
    <w:r>
      <w:rPr>
        <w:rFonts w:ascii="Arial" w:hAnsi="Arial" w:eastAsia="Arial" w:cs="Arial"/>
        <w:sz w:val="20"/>
        <w:szCs w:val="20"/>
        <w:spacing w:val="-2"/>
      </w:rPr>
      <w:t>H/1                                                                                                                </w:t>
    </w:r>
    <w:r>
      <w:rPr>
        <w:rFonts w:ascii="STXingkai" w:hAnsi="STXingkai" w:eastAsia="STXingkai" w:cs="STXingkai"/>
        <w:sz w:val="22"/>
        <w:szCs w:val="22"/>
        <w:spacing w:val="-2"/>
      </w:rPr>
      <w:t>第   6  </w:t>
    </w:r>
    <w:r>
      <w:rPr>
        <w:rFonts w:ascii="KaiTi" w:hAnsi="KaiTi" w:eastAsia="KaiTi" w:cs="KaiTi"/>
        <w:sz w:val="22"/>
        <w:szCs w:val="22"/>
        <w:spacing w:val="-2"/>
      </w:rPr>
      <w:t>页</w:t>
    </w:r>
    <w:r>
      <w:rPr>
        <w:rFonts w:ascii="KaiTi" w:hAnsi="KaiTi" w:eastAsia="KaiTi" w:cs="KaiTi"/>
        <w:sz w:val="22"/>
        <w:szCs w:val="22"/>
        <w:spacing w:val="-2"/>
      </w:rPr>
      <w:t xml:space="preserve"> </w:t>
    </w:r>
    <w:r>
      <w:rPr>
        <w:rFonts w:ascii="KaiTi" w:hAnsi="KaiTi" w:eastAsia="KaiTi" w:cs="KaiTi"/>
        <w:sz w:val="22"/>
        <w:szCs w:val="22"/>
        <w:spacing w:val="-2"/>
      </w:rPr>
      <w:t>共</w:t>
    </w:r>
    <w:r>
      <w:rPr>
        <w:rFonts w:ascii="KaiTi" w:hAnsi="KaiTi" w:eastAsia="KaiTi" w:cs="KaiTi"/>
        <w:sz w:val="22"/>
        <w:szCs w:val="22"/>
        <w:spacing w:val="-2"/>
      </w:rPr>
      <w:t xml:space="preserve"> </w:t>
    </w:r>
    <w:r>
      <w:rPr>
        <w:rFonts w:ascii="KaiTi" w:hAnsi="KaiTi" w:eastAsia="KaiTi" w:cs="KaiTi"/>
        <w:sz w:val="22"/>
        <w:szCs w:val="22"/>
        <w:spacing w:val="-2"/>
      </w:rPr>
      <w:t>6</w:t>
    </w:r>
    <w:r>
      <w:rPr>
        <w:rFonts w:ascii="KaiTi" w:hAnsi="KaiTi" w:eastAsia="KaiTi" w:cs="KaiTi"/>
        <w:sz w:val="22"/>
        <w:szCs w:val="22"/>
        <w:spacing w:val="-2"/>
      </w:rPr>
      <w:t xml:space="preserve"> </w:t>
    </w:r>
    <w:r>
      <w:rPr>
        <w:rFonts w:ascii="KaiTi" w:hAnsi="KaiTi" w:eastAsia="KaiTi" w:cs="KaiTi"/>
        <w:sz w:val="22"/>
        <w:szCs w:val="22"/>
        <w:spacing w:val="-2"/>
      </w:rPr>
      <w:t>页</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Sun" w:hAnsi="SimSun" w:eastAsia="SimSun" w:cs="SimSun"/>
      <w:sz w:val="26"/>
      <w:szCs w:val="26"/>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9.png"/><Relationship Id="rId8" Type="http://schemas.openxmlformats.org/officeDocument/2006/relationships/footer" Target="footer4.xml"/><Relationship Id="rId7" Type="http://schemas.openxmlformats.org/officeDocument/2006/relationships/image" Target="media/image7.png"/><Relationship Id="rId6" Type="http://schemas.openxmlformats.org/officeDocument/2006/relationships/footer" Target="footer3.xml"/><Relationship Id="rId5" Type="http://schemas.openxmlformats.org/officeDocument/2006/relationships/image" Target="media/image5.png"/><Relationship Id="rId4" Type="http://schemas.openxmlformats.org/officeDocument/2006/relationships/footer" Target="footer2.xml"/><Relationship Id="rId3" Type="http://schemas.openxmlformats.org/officeDocument/2006/relationships/image" Target="media/image3.png"/><Relationship Id="rId2" Type="http://schemas.openxmlformats.org/officeDocument/2006/relationships/footer" Target="footer1.xml"/><Relationship Id="rId14" Type="http://schemas.openxmlformats.org/officeDocument/2006/relationships/fontTable" Target="fontTable.xml"/><Relationship Id="rId13" Type="http://schemas.openxmlformats.org/officeDocument/2006/relationships/styles" Target="styles.xml"/><Relationship Id="rId12" Type="http://schemas.openxmlformats.org/officeDocument/2006/relationships/settings" Target="settings.xml"/><Relationship Id="rId11" Type="http://schemas.openxmlformats.org/officeDocument/2006/relationships/image" Target="media/image11.png"/><Relationship Id="rId10" Type="http://schemas.openxmlformats.org/officeDocument/2006/relationships/footer" Target="footer5.xml"/><Relationship Id="rId1"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footer4.xml.rels><?xml version="1.0" encoding="UTF-8" standalone="yes"?>
<Relationships xmlns="http://schemas.openxmlformats.org/package/2006/relationships"><Relationship Id="rId1" Type="http://schemas.openxmlformats.org/officeDocument/2006/relationships/image" Target="media/image8.jpeg"/></Relationships>
</file>

<file path=word/_rels/footer5.xml.rels><?xml version="1.0" encoding="UTF-8" standalone="yes"?>
<Relationships xmlns="http://schemas.openxmlformats.org/package/2006/relationships"><Relationship Id="rId1" Type="http://schemas.openxmlformats.org/officeDocument/2006/relationships/image" Target="media/image10.jpeg"/></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2026-09-11T17:21:35Z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2026-09-11T17:21:36</vt:filetime>
  </property>
  <property fmtid="{D5CDD505-2E9C-101B-9397-08002B2CF9AE}" pid="4" name="UsrData">
    <vt:lpwstr>6aa3c81c027ecd001f078e4cwl</vt:lpwstr>
  </property>
</Properties>
</file>