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根据学校《关于做好推荐2026届优秀应届本科毕业生免试攻读硕士学位研究生的通知》，为切实做好我院推荐优秀本科生免试攻读硕士研究生（以下简称“推免生”）工作，确保推免生工作公平、公正、公开，结合我院实际，特制定本细则。</w:t>
      </w:r>
    </w:p>
    <w:p>
      <w:pPr>
        <w:spacing w:after="80" w:lineRule="auto" w:line="360"/>
        <w:ind w:firstLine="482"/>
        <w:jc w:val="both"/>
      </w:pPr>
      <w:r>
        <w:rPr>
          <w:rFonts w:ascii="Times New Roman" w:hAnsi="Times New Roman" w:eastAsia="宋体"/>
          <w:b w:val="0"/>
          <w:sz w:val="24"/>
        </w:rPr>
        <w:t>根据学校《关于做好推荐2026届优秀应届本科毕业生免试攻读硕士学位研究生的通知》，为切实做好我院推荐优秀本科生免试攻读硕士研究生（以下简称“推免生”）工作，确保推免生工作公平、公正、公开，结合我院实际，特制定本细则。</w:t>
      </w:r>
    </w:p>
    <w:p>
      <w:pPr>
        <w:spacing w:after="80" w:lineRule="auto" w:line="360"/>
        <w:ind w:firstLine="482"/>
        <w:jc w:val="both"/>
      </w:pPr>
      <w:r>
        <w:rPr>
          <w:rFonts w:ascii="Times New Roman" w:hAnsi="Times New Roman" w:eastAsia="宋体"/>
          <w:b w:val="0"/>
          <w:sz w:val="24"/>
        </w:rPr>
        <w:t>发布日期（推定）：2025年8月29日</w:t>
      </w:r>
    </w:p>
    <w:p>
      <w:pPr>
        <w:spacing w:before="160" w:after="80" w:lineRule="auto" w:line="360"/>
        <w:jc w:val="left"/>
      </w:pPr>
      <w:r>
        <w:rPr>
          <w:rFonts w:ascii="Times New Roman" w:hAnsi="Times New Roman" w:eastAsia="宋体"/>
          <w:b/>
          <w:sz w:val="28"/>
        </w:rPr>
        <w:t>一、推免生对象</w:t>
      </w:r>
    </w:p>
    <w:p>
      <w:pPr>
        <w:spacing w:after="80" w:lineRule="auto" w:line="360"/>
        <w:ind w:firstLine="482"/>
        <w:jc w:val="both"/>
      </w:pPr>
      <w:r>
        <w:rPr>
          <w:rFonts w:ascii="Times New Roman" w:hAnsi="Times New Roman" w:eastAsia="宋体"/>
          <w:b w:val="0"/>
          <w:sz w:val="24"/>
        </w:rPr>
        <w:t>外国语学院普通本科2026届毕业生。</w:t>
      </w:r>
    </w:p>
    <w:p>
      <w:pPr>
        <w:spacing w:before="160" w:after="80" w:lineRule="auto" w:line="360"/>
        <w:jc w:val="left"/>
      </w:pPr>
      <w:r>
        <w:rPr>
          <w:rFonts w:ascii="Times New Roman" w:hAnsi="Times New Roman" w:eastAsia="宋体"/>
          <w:b/>
          <w:sz w:val="28"/>
        </w:rPr>
        <w:t>二、推免生名额及分配</w:t>
      </w:r>
    </w:p>
    <w:p>
      <w:pPr>
        <w:spacing w:after="80" w:lineRule="auto" w:line="360"/>
        <w:ind w:firstLine="482"/>
        <w:jc w:val="both"/>
      </w:pPr>
      <w:r>
        <w:rPr>
          <w:rFonts w:ascii="Times New Roman" w:hAnsi="Times New Roman" w:eastAsia="宋体"/>
          <w:b w:val="0"/>
          <w:sz w:val="24"/>
        </w:rPr>
        <w:t>学院本次推免生名额共10人。根据学校相关要求及学院实际情况，各专业初步拟定的推免生名额为：英语专业6人、德语专业2人、翻译专业2人。</w:t>
      </w:r>
    </w:p>
    <w:p>
      <w:pPr>
        <w:spacing w:before="160" w:after="80" w:lineRule="auto" w:line="360"/>
        <w:jc w:val="left"/>
      </w:pPr>
      <w:r>
        <w:rPr>
          <w:rFonts w:ascii="Times New Roman" w:hAnsi="Times New Roman" w:eastAsia="宋体"/>
          <w:b/>
          <w:sz w:val="28"/>
        </w:rPr>
        <w:t>三、推免生基本条件</w:t>
      </w:r>
    </w:p>
    <w:p>
      <w:pPr>
        <w:spacing w:after="80" w:lineRule="auto" w:line="360"/>
        <w:ind w:firstLine="482"/>
        <w:jc w:val="both"/>
      </w:pPr>
      <w:r>
        <w:rPr>
          <w:rFonts w:ascii="Times New Roman" w:hAnsi="Times New Roman" w:eastAsia="宋体"/>
          <w:b w:val="0"/>
          <w:sz w:val="24"/>
        </w:rPr>
        <w:t>（一）坚持四项基本原则，拥护党的领导，具有高尚的爱国主义情操和集体主义精神，理想信念坚定，社会责任感强，遵纪守法，品行端正，诚实守信，无学术不端行为，在校期间未受过任何处分。</w:t>
      </w:r>
    </w:p>
    <w:p>
      <w:pPr>
        <w:spacing w:after="80" w:lineRule="auto" w:line="360"/>
        <w:ind w:firstLine="482"/>
        <w:jc w:val="both"/>
      </w:pPr>
      <w:r>
        <w:rPr>
          <w:rFonts w:ascii="Times New Roman" w:hAnsi="Times New Roman" w:eastAsia="宋体"/>
          <w:b w:val="0"/>
          <w:sz w:val="24"/>
        </w:rPr>
        <w:t>（二）勤奋学习，刻苦钻研，基础知识扎实，在校期间本专业所有课程考核成绩必须合格，且平均学分绩点在3.0及以上，外语专业学生专业外语四级考试成绩达到良好。</w:t>
      </w:r>
    </w:p>
    <w:p>
      <w:pPr>
        <w:spacing w:after="80" w:lineRule="auto" w:line="360"/>
        <w:ind w:firstLine="482"/>
        <w:jc w:val="both"/>
      </w:pPr>
      <w:r>
        <w:rPr>
          <w:rFonts w:ascii="Times New Roman" w:hAnsi="Times New Roman" w:eastAsia="宋体"/>
          <w:b w:val="0"/>
          <w:sz w:val="24"/>
        </w:rPr>
        <w:t>（三）在校期间本专业所有课程考核成绩必须合格。</w:t>
      </w:r>
    </w:p>
    <w:p>
      <w:pPr>
        <w:spacing w:after="80" w:lineRule="auto" w:line="360"/>
        <w:ind w:firstLine="482"/>
        <w:jc w:val="both"/>
      </w:pPr>
      <w:r>
        <w:rPr>
          <w:rFonts w:ascii="Times New Roman" w:hAnsi="Times New Roman" w:eastAsia="宋体"/>
          <w:b w:val="0"/>
          <w:sz w:val="24"/>
        </w:rPr>
        <w:t>（四）身体健康。</w:t>
      </w:r>
    </w:p>
    <w:p>
      <w:pPr>
        <w:spacing w:after="80" w:lineRule="auto" w:line="360"/>
        <w:ind w:firstLine="482"/>
        <w:jc w:val="both"/>
      </w:pPr>
      <w:r>
        <w:rPr>
          <w:rFonts w:ascii="Times New Roman" w:hAnsi="Times New Roman" w:eastAsia="宋体"/>
          <w:b w:val="0"/>
          <w:sz w:val="24"/>
        </w:rPr>
        <w:t>（五）凡符合以上条件并具备下列情况之一者，在同等条件下可优先推荐：</w:t>
      </w:r>
    </w:p>
    <w:p>
      <w:pPr>
        <w:spacing w:after="80" w:lineRule="auto" w:line="360"/>
        <w:ind w:firstLine="482"/>
        <w:jc w:val="both"/>
      </w:pPr>
      <w:r>
        <w:rPr>
          <w:rFonts w:ascii="Times New Roman" w:hAnsi="Times New Roman" w:eastAsia="宋体"/>
          <w:b w:val="0"/>
          <w:sz w:val="24"/>
        </w:rPr>
        <w:t>1. 在《武汉科技大学学生学科和科技竞赛管理办法（修订）》（武科大校发〔2024〕1号）中认定的A类赛事中获全国二等奖且排名前三者或在B1类赛事中获全国一等奖及以上且排名前三者的大学生各类学科与科技竞赛中获奖者。</w:t>
      </w:r>
    </w:p>
    <w:p>
      <w:pPr>
        <w:spacing w:after="80" w:lineRule="auto" w:line="360"/>
        <w:ind w:firstLine="482"/>
        <w:jc w:val="both"/>
      </w:pPr>
      <w:r>
        <w:rPr>
          <w:rFonts w:ascii="Times New Roman" w:hAnsi="Times New Roman" w:eastAsia="宋体"/>
          <w:b w:val="0"/>
          <w:sz w:val="24"/>
        </w:rPr>
        <w:t>2. 以第一作者在与本专业相关的C类及以上期刊上发表学术论文（需已正式见刊），或以第一发明人/设计人获得专利授权且专利申请人为武汉科技大学。</w:t>
      </w:r>
    </w:p>
    <w:p>
      <w:pPr>
        <w:spacing w:after="80" w:lineRule="auto" w:line="360"/>
        <w:ind w:firstLine="482"/>
        <w:jc w:val="both"/>
      </w:pPr>
      <w:r>
        <w:rPr>
          <w:rFonts w:ascii="Times New Roman" w:hAnsi="Times New Roman" w:eastAsia="宋体"/>
          <w:b w:val="0"/>
          <w:sz w:val="24"/>
        </w:rPr>
        <w:t>3. 获CATTI证书者。</w:t>
      </w:r>
    </w:p>
    <w:p>
      <w:pPr>
        <w:spacing w:after="80" w:lineRule="auto" w:line="360"/>
        <w:ind w:firstLine="482"/>
        <w:jc w:val="both"/>
      </w:pPr>
      <w:r>
        <w:rPr>
          <w:rFonts w:ascii="Times New Roman" w:hAnsi="Times New Roman" w:eastAsia="宋体"/>
          <w:b w:val="0"/>
          <w:sz w:val="24"/>
        </w:rPr>
        <w:t>4. 参军入伍服兵役者。</w:t>
      </w:r>
    </w:p>
    <w:p>
      <w:pPr>
        <w:spacing w:before="160" w:after="80" w:lineRule="auto" w:line="360"/>
        <w:jc w:val="left"/>
      </w:pPr>
      <w:r>
        <w:rPr>
          <w:rFonts w:ascii="Times New Roman" w:hAnsi="Times New Roman" w:eastAsia="宋体"/>
          <w:b/>
          <w:sz w:val="28"/>
        </w:rPr>
        <w:t>四、综合测评分计算办法</w:t>
      </w:r>
    </w:p>
    <w:p>
      <w:pPr>
        <w:spacing w:after="80" w:lineRule="auto" w:line="360"/>
        <w:ind w:firstLine="482"/>
        <w:jc w:val="both"/>
      </w:pPr>
      <w:r>
        <w:rPr>
          <w:rFonts w:ascii="Times New Roman" w:hAnsi="Times New Roman" w:eastAsia="宋体"/>
          <w:b w:val="0"/>
          <w:sz w:val="24"/>
        </w:rPr>
        <w:t>综合测评总绩点（满分为4分）= A×95% + B×5%</w:t>
      </w:r>
    </w:p>
    <w:p>
      <w:pPr>
        <w:spacing w:after="80" w:lineRule="auto" w:line="360"/>
        <w:ind w:firstLine="482"/>
        <w:jc w:val="both"/>
      </w:pPr>
      <w:r>
        <w:rPr>
          <w:rFonts w:ascii="Times New Roman" w:hAnsi="Times New Roman" w:eastAsia="宋体"/>
          <w:b w:val="0"/>
          <w:sz w:val="24"/>
        </w:rPr>
        <w:t>A=平均学分绩点</w:t>
      </w:r>
    </w:p>
    <w:p>
      <w:pPr>
        <w:spacing w:after="80" w:lineRule="auto" w:line="360"/>
        <w:ind w:firstLine="482"/>
        <w:jc w:val="both"/>
      </w:pPr>
      <w:r>
        <w:rPr>
          <w:rFonts w:ascii="Times New Roman" w:hAnsi="Times New Roman" w:eastAsia="宋体"/>
          <w:b w:val="0"/>
          <w:sz w:val="24"/>
        </w:rPr>
        <w:t>B=学术科技获奖绩点[（申报人总分/该项所有申报人最高分）*4]</w:t>
      </w:r>
    </w:p>
    <w:p>
      <w:pPr>
        <w:spacing w:after="80" w:lineRule="auto" w:line="360"/>
        <w:ind w:firstLine="482"/>
        <w:jc w:val="both"/>
      </w:pPr>
      <w:r>
        <w:rPr>
          <w:rFonts w:ascii="Times New Roman" w:hAnsi="Times New Roman" w:eastAsia="宋体"/>
          <w:b w:val="0"/>
          <w:sz w:val="24"/>
        </w:rPr>
        <w:t>平均学分绩点=Σ(所修课程绩点×所修课程学分)/Σ所修课程学分（大一至大三整体成绩）。【注：学业综合成绩指学生本专业培养方案内已修所有课程的平均学分绩点。所修课程指在校期间教务系统中主修专业所有课程，平均学分绩点以教务系统中统计的数值为准。】</w:t>
      </w:r>
    </w:p>
    <w:p>
      <w:pPr>
        <w:spacing w:after="80" w:lineRule="auto" w:line="360"/>
        <w:ind w:firstLine="482"/>
        <w:jc w:val="both"/>
      </w:pPr>
      <w:r>
        <w:rPr>
          <w:rFonts w:ascii="Times New Roman" w:hAnsi="Times New Roman" w:eastAsia="宋体"/>
          <w:b w:val="0"/>
          <w:sz w:val="24"/>
        </w:rPr>
        <w:t>学术科技获奖：主要包含本科期间参加大学生课外学科和科技竞赛获奖以及本科期间发表的研究论文。</w:t>
      </w:r>
    </w:p>
    <w:p>
      <w:pPr>
        <w:spacing w:after="80" w:lineRule="auto" w:line="360"/>
        <w:ind w:firstLine="482"/>
        <w:jc w:val="both"/>
      </w:pPr>
      <w:r>
        <w:rPr>
          <w:rFonts w:ascii="Times New Roman" w:hAnsi="Times New Roman" w:eastAsia="宋体"/>
          <w:b w:val="0"/>
          <w:sz w:val="24"/>
        </w:rPr>
        <w:t>学生所获学术科技奖的等级按《武汉科技大学学生学科和科技竞赛管理办法（修订）》（武科大校发〔2024〕1号）的认定原则及相关清单予以认定。不在该竞赛管理办法竞赛清单中的竞赛获奖仅作参考、不计入获奖加分。</w:t>
      </w:r>
    </w:p>
    <w:p>
      <w:pPr>
        <w:spacing w:after="80" w:lineRule="auto" w:line="360"/>
        <w:ind w:firstLine="482"/>
        <w:jc w:val="both"/>
      </w:pPr>
      <w:r>
        <w:rPr>
          <w:rFonts w:ascii="Times New Roman" w:hAnsi="Times New Roman" w:eastAsia="宋体"/>
          <w:b w:val="0"/>
          <w:sz w:val="24"/>
        </w:rPr>
        <w:t>学术科技获奖以及论文加分细则如下：</w:t>
      </w:r>
    </w:p>
    <w:p>
      <w:pPr>
        <w:spacing w:after="80" w:lineRule="auto" w:line="360"/>
        <w:ind w:firstLine="482"/>
        <w:jc w:val="both"/>
      </w:pPr>
      <w:r>
        <w:rPr>
          <w:rFonts w:ascii="Times New Roman" w:hAnsi="Times New Roman" w:eastAsia="宋体"/>
          <w:b w:val="0"/>
          <w:sz w:val="24"/>
        </w:rPr>
        <w:t>1. 学科竞赛类</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获奖级别</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竞赛类别及加分值 A类</w:t>
            </w:r>
          </w:p>
        </w:tc>
        <w:tc>
          <w:tcPr>
            <w:tcW w:type="dxa" w:w="1727"/>
          </w:tcPr>
          <w:p>
            <w:pPr>
              <w:spacing w:after="20" w:before="20"/>
            </w:pPr>
            <w:r/>
            <w:r>
              <w:rPr>
                <w:rFonts w:ascii="Times New Roman" w:hAnsi="Times New Roman" w:eastAsia="宋体"/>
                <w:b/>
                <w:sz w:val="21"/>
              </w:rPr>
              <w:t>竞赛类别及加分值 B1类</w:t>
            </w:r>
          </w:p>
        </w:tc>
        <w:tc>
          <w:tcPr>
            <w:tcW w:type="dxa" w:w="1727"/>
          </w:tcPr>
          <w:p>
            <w:pPr>
              <w:spacing w:after="20" w:before="20"/>
            </w:pPr>
            <w:r/>
            <w:r>
              <w:rPr>
                <w:rFonts w:ascii="Times New Roman" w:hAnsi="Times New Roman" w:eastAsia="宋体"/>
                <w:b/>
                <w:sz w:val="21"/>
              </w:rPr>
              <w:t>竞赛类别及加分值 其它类</w:t>
            </w:r>
          </w:p>
        </w:tc>
      </w:tr>
      <w:tr>
        <w:tc>
          <w:tcPr>
            <w:tcW w:type="dxa" w:w="1727"/>
          </w:tcPr>
          <w:p>
            <w:pPr>
              <w:spacing w:after="20" w:before="20"/>
            </w:pPr>
            <w:r/>
            <w:r>
              <w:rPr>
                <w:rFonts w:ascii="Times New Roman" w:hAnsi="Times New Roman" w:eastAsia="宋体"/>
                <w:b w:val="0"/>
                <w:sz w:val="21"/>
              </w:rPr>
              <w:t>全国级</w:t>
            </w:r>
          </w:p>
        </w:tc>
        <w:tc>
          <w:tcPr>
            <w:tcW w:type="dxa" w:w="1727"/>
          </w:tcPr>
          <w:p>
            <w:pPr>
              <w:spacing w:after="20" w:before="20"/>
            </w:pPr>
            <w:r/>
            <w:r>
              <w:rPr>
                <w:rFonts w:ascii="Times New Roman" w:hAnsi="Times New Roman" w:eastAsia="宋体"/>
                <w:b w:val="0"/>
                <w:sz w:val="21"/>
              </w:rPr>
              <w:t>特等奖</w:t>
            </w:r>
          </w:p>
        </w:tc>
        <w:tc>
          <w:tcPr>
            <w:tcW w:type="dxa" w:w="1727"/>
          </w:tcPr>
          <w:p>
            <w:pPr>
              <w:spacing w:after="20" w:before="20"/>
            </w:pPr>
            <w:r/>
            <w:r>
              <w:rPr>
                <w:rFonts w:ascii="Times New Roman" w:hAnsi="Times New Roman" w:eastAsia="宋体"/>
                <w:b w:val="0"/>
                <w:sz w:val="21"/>
              </w:rPr>
              <w:t>9</w:t>
            </w:r>
          </w:p>
        </w:tc>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6</w:t>
            </w:r>
          </w:p>
        </w:tc>
      </w:tr>
      <w:tr>
        <w:tc>
          <w:tcPr>
            <w:tcW w:type="dxa" w:w="1727"/>
          </w:tcPr>
          <w:p>
            <w:pPr>
              <w:spacing w:after="20" w:before="20"/>
            </w:pPr>
            <w:r/>
            <w:r>
              <w:rPr>
                <w:rFonts w:ascii="Times New Roman" w:hAnsi="Times New Roman" w:eastAsia="宋体"/>
                <w:b w:val="0"/>
                <w:sz w:val="21"/>
              </w:rPr>
              <w:t>全国级</w:t>
            </w:r>
          </w:p>
        </w:tc>
        <w:tc>
          <w:tcPr>
            <w:tcW w:type="dxa" w:w="1727"/>
          </w:tcPr>
          <w:p>
            <w:pPr>
              <w:spacing w:after="20" w:before="20"/>
            </w:pPr>
            <w:r/>
            <w:r>
              <w:rPr>
                <w:rFonts w:ascii="Times New Roman" w:hAnsi="Times New Roman" w:eastAsia="宋体"/>
                <w:b w:val="0"/>
                <w:sz w:val="21"/>
              </w:rPr>
              <w:t>一等奖</w:t>
            </w:r>
          </w:p>
        </w:tc>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5</w:t>
            </w:r>
          </w:p>
        </w:tc>
      </w:tr>
      <w:tr>
        <w:tc>
          <w:tcPr>
            <w:tcW w:type="dxa" w:w="1727"/>
          </w:tcPr>
          <w:p>
            <w:pPr>
              <w:spacing w:after="20" w:before="20"/>
            </w:pPr>
            <w:r/>
            <w:r>
              <w:rPr>
                <w:rFonts w:ascii="Times New Roman" w:hAnsi="Times New Roman" w:eastAsia="宋体"/>
                <w:b w:val="0"/>
                <w:sz w:val="21"/>
              </w:rPr>
              <w:t>全国级</w:t>
            </w:r>
          </w:p>
        </w:tc>
        <w:tc>
          <w:tcPr>
            <w:tcW w:type="dxa" w:w="1727"/>
          </w:tcPr>
          <w:p>
            <w:pPr>
              <w:spacing w:after="20" w:before="20"/>
            </w:pPr>
            <w:r/>
            <w:r>
              <w:rPr>
                <w:rFonts w:ascii="Times New Roman" w:hAnsi="Times New Roman" w:eastAsia="宋体"/>
                <w:b w:val="0"/>
                <w:sz w:val="21"/>
              </w:rPr>
              <w:t>二等奖</w:t>
            </w:r>
          </w:p>
        </w:tc>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4</w:t>
            </w:r>
          </w:p>
        </w:tc>
      </w:tr>
      <w:tr>
        <w:tc>
          <w:tcPr>
            <w:tcW w:type="dxa" w:w="1727"/>
          </w:tcPr>
          <w:p>
            <w:pPr>
              <w:spacing w:after="20" w:before="20"/>
            </w:pPr>
            <w:r/>
            <w:r>
              <w:rPr>
                <w:rFonts w:ascii="Times New Roman" w:hAnsi="Times New Roman" w:eastAsia="宋体"/>
                <w:b w:val="0"/>
                <w:sz w:val="21"/>
              </w:rPr>
              <w:t>全国级</w:t>
            </w:r>
          </w:p>
        </w:tc>
        <w:tc>
          <w:tcPr>
            <w:tcW w:type="dxa" w:w="1727"/>
          </w:tcPr>
          <w:p>
            <w:pPr>
              <w:spacing w:after="20" w:before="20"/>
            </w:pPr>
            <w:r/>
            <w:r>
              <w:rPr>
                <w:rFonts w:ascii="Times New Roman" w:hAnsi="Times New Roman" w:eastAsia="宋体"/>
                <w:b w:val="0"/>
                <w:sz w:val="21"/>
              </w:rPr>
              <w:t>三等奖</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3</w:t>
            </w:r>
          </w:p>
        </w:tc>
      </w:tr>
      <w:tr>
        <w:tc>
          <w:tcPr>
            <w:tcW w:type="dxa" w:w="1727"/>
          </w:tcPr>
          <w:p>
            <w:pPr>
              <w:spacing w:after="20" w:before="20"/>
            </w:pPr>
            <w:r/>
            <w:r>
              <w:rPr>
                <w:rFonts w:ascii="Times New Roman" w:hAnsi="Times New Roman" w:eastAsia="宋体"/>
                <w:b w:val="0"/>
                <w:sz w:val="21"/>
              </w:rPr>
              <w:t>省部级</w:t>
            </w:r>
          </w:p>
        </w:tc>
        <w:tc>
          <w:tcPr>
            <w:tcW w:type="dxa" w:w="1727"/>
          </w:tcPr>
          <w:p>
            <w:pPr>
              <w:spacing w:after="20" w:before="20"/>
            </w:pPr>
            <w:r/>
            <w:r>
              <w:rPr>
                <w:rFonts w:ascii="Times New Roman" w:hAnsi="Times New Roman" w:eastAsia="宋体"/>
                <w:b w:val="0"/>
                <w:sz w:val="21"/>
              </w:rPr>
              <w:t>特等奖</w:t>
            </w:r>
          </w:p>
        </w:tc>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4</w:t>
            </w:r>
          </w:p>
        </w:tc>
      </w:tr>
      <w:tr>
        <w:tc>
          <w:tcPr>
            <w:tcW w:type="dxa" w:w="1727"/>
          </w:tcPr>
          <w:p>
            <w:pPr>
              <w:spacing w:after="20" w:before="20"/>
            </w:pPr>
            <w:r/>
            <w:r>
              <w:rPr>
                <w:rFonts w:ascii="Times New Roman" w:hAnsi="Times New Roman" w:eastAsia="宋体"/>
                <w:b w:val="0"/>
                <w:sz w:val="21"/>
              </w:rPr>
              <w:t>省部级</w:t>
            </w:r>
          </w:p>
        </w:tc>
        <w:tc>
          <w:tcPr>
            <w:tcW w:type="dxa" w:w="1727"/>
          </w:tcPr>
          <w:p>
            <w:pPr>
              <w:spacing w:after="20" w:before="20"/>
            </w:pPr>
            <w:r/>
            <w:r>
              <w:rPr>
                <w:rFonts w:ascii="Times New Roman" w:hAnsi="Times New Roman" w:eastAsia="宋体"/>
                <w:b w:val="0"/>
                <w:sz w:val="21"/>
              </w:rPr>
              <w:t>一等奖</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3</w:t>
            </w:r>
          </w:p>
        </w:tc>
      </w:tr>
      <w:tr>
        <w:tc>
          <w:tcPr>
            <w:tcW w:type="dxa" w:w="1727"/>
          </w:tcPr>
          <w:p>
            <w:pPr>
              <w:spacing w:after="20" w:before="20"/>
            </w:pPr>
            <w:r/>
            <w:r>
              <w:rPr>
                <w:rFonts w:ascii="Times New Roman" w:hAnsi="Times New Roman" w:eastAsia="宋体"/>
                <w:b w:val="0"/>
                <w:sz w:val="21"/>
              </w:rPr>
              <w:t>省部级</w:t>
            </w:r>
          </w:p>
        </w:tc>
        <w:tc>
          <w:tcPr>
            <w:tcW w:type="dxa" w:w="1727"/>
          </w:tcPr>
          <w:p>
            <w:pPr>
              <w:spacing w:after="20" w:before="20"/>
            </w:pPr>
            <w:r/>
            <w:r>
              <w:rPr>
                <w:rFonts w:ascii="Times New Roman" w:hAnsi="Times New Roman" w:eastAsia="宋体"/>
                <w:b w:val="0"/>
                <w:sz w:val="21"/>
              </w:rPr>
              <w:t>二等奖</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2</w:t>
            </w:r>
          </w:p>
        </w:tc>
      </w:tr>
      <w:tr>
        <w:tc>
          <w:tcPr>
            <w:tcW w:type="dxa" w:w="1727"/>
          </w:tcPr>
          <w:p>
            <w:pPr>
              <w:spacing w:after="20" w:before="20"/>
            </w:pPr>
            <w:r/>
            <w:r>
              <w:rPr>
                <w:rFonts w:ascii="Times New Roman" w:hAnsi="Times New Roman" w:eastAsia="宋体"/>
                <w:b w:val="0"/>
                <w:sz w:val="21"/>
              </w:rPr>
              <w:t>省部级</w:t>
            </w:r>
          </w:p>
        </w:tc>
        <w:tc>
          <w:tcPr>
            <w:tcW w:type="dxa" w:w="1727"/>
          </w:tcPr>
          <w:p>
            <w:pPr>
              <w:spacing w:after="20" w:before="20"/>
            </w:pPr>
            <w:r/>
            <w:r>
              <w:rPr>
                <w:rFonts w:ascii="Times New Roman" w:hAnsi="Times New Roman" w:eastAsia="宋体"/>
                <w:b w:val="0"/>
                <w:sz w:val="21"/>
              </w:rPr>
              <w:t>三等奖</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1</w:t>
            </w:r>
          </w:p>
        </w:tc>
      </w:tr>
    </w:tbl>
    <w:p>
      <w:pPr>
        <w:spacing w:after="80" w:lineRule="auto" w:line="360"/>
        <w:ind w:firstLine="482"/>
        <w:jc w:val="both"/>
      </w:pPr>
      <w:r>
        <w:rPr>
          <w:rFonts w:ascii="Times New Roman" w:hAnsi="Times New Roman" w:eastAsia="宋体"/>
          <w:b w:val="0"/>
          <w:sz w:val="24"/>
        </w:rPr>
        <w:t>2. 科研类（由导师为第一作者、学生第二作者同样记为第一作者；以下成果需已正式见刊或获批专利授权）</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成果类别</w:t>
            </w:r>
          </w:p>
        </w:tc>
        <w:tc>
          <w:tcPr>
            <w:tcW w:type="dxa" w:w="4317"/>
          </w:tcPr>
          <w:p>
            <w:pPr>
              <w:spacing w:after="20" w:before="20"/>
            </w:pPr>
            <w:r/>
            <w:r>
              <w:rPr>
                <w:rFonts w:ascii="Times New Roman" w:hAnsi="Times New Roman" w:eastAsia="宋体"/>
                <w:b/>
                <w:sz w:val="21"/>
              </w:rPr>
              <w:t>加分值</w:t>
            </w:r>
          </w:p>
        </w:tc>
      </w:tr>
      <w:tr>
        <w:tc>
          <w:tcPr>
            <w:tcW w:type="dxa" w:w="4317"/>
          </w:tcPr>
          <w:p>
            <w:pPr>
              <w:spacing w:after="20" w:before="20"/>
            </w:pPr>
            <w:r/>
            <w:r>
              <w:rPr>
                <w:rFonts w:ascii="Times New Roman" w:hAnsi="Times New Roman" w:eastAsia="宋体"/>
                <w:b w:val="0"/>
                <w:sz w:val="21"/>
              </w:rPr>
              <w:t>被SCI、SSCI检索的论文第一作者</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CSSCI、北大核心期刊论文第一作者</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除CSSCI、北大核心之外的C类期刊论文第一作者</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普通期刊论文第一作者</w:t>
            </w:r>
          </w:p>
        </w:tc>
        <w:tc>
          <w:tcPr>
            <w:tcW w:type="dxa" w:w="4317"/>
          </w:tcPr>
          <w:p>
            <w:pPr>
              <w:spacing w:after="20" w:before="20"/>
            </w:pPr>
            <w:r/>
            <w:r>
              <w:rPr>
                <w:rFonts w:ascii="Times New Roman" w:hAnsi="Times New Roman" w:eastAsia="宋体"/>
                <w:b w:val="0"/>
                <w:sz w:val="21"/>
              </w:rPr>
              <w:t>0.5</w:t>
            </w:r>
          </w:p>
        </w:tc>
      </w:tr>
      <w:tr>
        <w:tc>
          <w:tcPr>
            <w:tcW w:type="dxa" w:w="4317"/>
          </w:tcPr>
          <w:p>
            <w:pPr>
              <w:spacing w:after="20" w:before="20"/>
            </w:pPr>
            <w:r/>
            <w:r>
              <w:rPr>
                <w:rFonts w:ascii="Times New Roman" w:hAnsi="Times New Roman" w:eastAsia="宋体"/>
                <w:b w:val="0"/>
                <w:sz w:val="21"/>
              </w:rPr>
              <w:t>国家发明专利第一发明人</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国家实用新型专利第一发明人</w:t>
            </w:r>
          </w:p>
        </w:tc>
        <w:tc>
          <w:tcPr>
            <w:tcW w:type="dxa" w:w="4317"/>
          </w:tcPr>
          <w:p>
            <w:pPr>
              <w:spacing w:after="20" w:before="20"/>
            </w:pPr>
            <w:r/>
            <w:r>
              <w:rPr>
                <w:rFonts w:ascii="Times New Roman" w:hAnsi="Times New Roman" w:eastAsia="宋体"/>
                <w:b w:val="0"/>
                <w:sz w:val="21"/>
              </w:rPr>
              <w:t>1</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