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招生工作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本段内容为杭州师范大学沈钧儒法学院网站导航及栏目信息，未包含推免（保研）相关的申请条件、报名时间、活动时间、接收条件、流程、材料清单、时间节点、名额或联系方式等实质通知内容。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一、网站导航栏目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校友工作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人才引进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English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网站首页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学院大事记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院务公开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三、师资队伍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在职教师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教研室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特聘教授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兼职教授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硕导简介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实务导师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四、学术科研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科研成果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最新科研成果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学术预告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学术会议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科研管理制度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五、学科建设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一流学科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六、教务教学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研究生教育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七、法硕中心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中心简介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中心动态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法律硕士导师目录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实践基地及导师目录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教学培养管理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文件下载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联系我们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八、杭师大省级涉外法治人才协同培养创新基地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基地介绍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基地活动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基地实务导师名录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基地合作共建单位名录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教学培养管理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基地建设文件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联系我们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九、浙江省法治教育研究中心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内网登录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图书馆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北大法宝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《钱塘法律评论》辑刊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十一、学生公告及相关内容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传承劳模精神，坚定使命担当 —— 全国模范法官面对面传授调解经验与技巧3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传承劳模精神，坚定使命担当 —— 全国模范法官面对面传授调解经验与技巧2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传承劳模精神，坚定使命担当 —— 全国模范法官面对面传授调解经验与技巧1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活动要闻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学生管理制度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