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化学与材料学院2026届优秀应届本科毕业生免试攻读硕士研究生拟推荐人（含候补）成绩及排名公示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化学与材料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公示内容：化学与材料学院2026届优秀应届本科毕业生免试攻读硕士研究生拟推荐人（含候补）课程加权平均分、附加分项目及分值、综合成绩及排名。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公示期：2025年9月5日-9月8日。</w:t>
      </w:r>
    </w:p>
    <w:p>
      <w:pPr>
        <w:spacing w:after="80" w:lineRule="auto" w:line="360"/>
        <w:ind w:firstLine="482"/>
        <w:jc w:val="both"/>
      </w:pPr>
      <w:r>
        <w:rPr>
          <w:rFonts w:ascii="Times New Roman" w:hAnsi="Times New Roman" w:eastAsia="宋体"/>
          <w:b w:val="0"/>
          <w:sz w:val="24"/>
        </w:rPr>
        <w:t>3. 异议反映方式：如有异议，请于公示期内实名向化学与材料学院纪检委员反映。</w:t>
      </w:r>
    </w:p>
    <w:p>
      <w:pPr>
        <w:spacing w:after="80" w:lineRule="auto" w:line="360"/>
        <w:ind w:firstLine="482"/>
        <w:jc w:val="both"/>
      </w:pPr>
      <w:r>
        <w:rPr>
          <w:rFonts w:ascii="Times New Roman" w:hAnsi="Times New Roman" w:eastAsia="宋体"/>
          <w:b w:val="0"/>
          <w:sz w:val="24"/>
        </w:rPr>
        <w:t>4. 联系电话：0791-83892006；邮箱：hcxsgz@ecut.edu.cn。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化学与材料学院2026届优秀应届本科毕业生免试攻读硕士研究生拟推荐人（含候补）成绩及排名.docx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化学与材料学院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