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济南大学研究生招生</w:t>
      </w:r>
    </w:p>
    <w:p>
      <w:pPr>
        <w:spacing w:after="80" w:line="360" w:lineRule="auto"/>
        <w:ind w:firstLine="482"/>
        <w:jc w:val="both"/>
      </w:pPr>
      <w:r>
        <w:rPr>
          <w:rFonts w:ascii="Times New Roman" w:hAnsi="Times New Roman" w:eastAsia="宋体"/>
          <w:sz w:val="24"/>
        </w:rPr>
        <w:t>站内搜索：</w:t>
      </w:r>
    </w:p>
    <w:p>
      <w:pPr>
        <w:spacing w:after="80" w:line="360" w:lineRule="auto"/>
        <w:ind w:firstLine="482"/>
        <w:jc w:val="both"/>
      </w:pPr>
      <w:r>
        <w:rPr>
          <w:rFonts w:ascii="Times New Roman" w:hAnsi="Times New Roman" w:eastAsia="宋体"/>
          <w:sz w:val="24"/>
        </w:rPr>
        <w:t>教学楼</w:t>
      </w:r>
    </w:p>
    <w:p>
      <w:pPr>
        <w:spacing w:after="80" w:line="360" w:lineRule="auto"/>
        <w:ind w:firstLine="482"/>
        <w:jc w:val="both"/>
      </w:pPr>
      <w:r>
        <w:rPr>
          <w:rFonts w:ascii="Times New Roman" w:hAnsi="Times New Roman" w:eastAsia="宋体"/>
          <w:sz w:val="24"/>
        </w:rPr>
        <w:t>图书馆</w:t>
      </w:r>
    </w:p>
    <w:p>
      <w:pPr>
        <w:spacing w:after="80" w:line="360" w:lineRule="auto"/>
        <w:ind w:firstLine="482"/>
        <w:jc w:val="both"/>
      </w:pPr>
      <w:r>
        <w:rPr>
          <w:rFonts w:ascii="Times New Roman" w:hAnsi="Times New Roman" w:eastAsia="宋体"/>
          <w:sz w:val="24"/>
        </w:rPr>
        <w:t>甲子湖滋兰苑</w:t>
      </w:r>
    </w:p>
    <w:p>
      <w:pPr>
        <w:spacing w:after="80" w:line="360" w:lineRule="auto"/>
        <w:ind w:firstLine="482"/>
        <w:jc w:val="both"/>
      </w:pPr>
      <w:r>
        <w:rPr>
          <w:rFonts w:ascii="Times New Roman" w:hAnsi="Times New Roman" w:eastAsia="宋体"/>
          <w:sz w:val="24"/>
        </w:rPr>
        <w:t>水泥基材料多尺度表征：从流体到固体国际会议</w:t>
      </w:r>
    </w:p>
    <w:p>
      <w:pPr>
        <w:spacing w:after="80" w:line="360" w:lineRule="auto"/>
        <w:ind w:firstLine="482"/>
        <w:jc w:val="both"/>
      </w:pPr>
      <w:r>
        <w:rPr>
          <w:rFonts w:ascii="Times New Roman" w:hAnsi="Times New Roman" w:eastAsia="宋体"/>
          <w:sz w:val="24"/>
        </w:rPr>
        <w:t>+更多招生工作进展</w:t>
      </w:r>
    </w:p>
    <w:p>
      <w:pPr>
        <w:spacing w:after="80" w:line="360" w:lineRule="auto"/>
        <w:ind w:firstLine="482"/>
        <w:jc w:val="both"/>
      </w:pPr>
      <w:r>
        <w:rPr>
          <w:rFonts w:ascii="Times New Roman" w:hAnsi="Times New Roman" w:eastAsia="宋体"/>
          <w:sz w:val="24"/>
        </w:rPr>
        <w:t>关于开展2026年山东省人工智能学院研究...</w:t>
      </w:r>
    </w:p>
    <w:p>
      <w:pPr>
        <w:spacing w:after="80" w:line="360" w:lineRule="auto"/>
        <w:ind w:firstLine="482"/>
        <w:jc w:val="both"/>
      </w:pPr>
      <w:r>
        <w:rPr>
          <w:rFonts w:ascii="Times New Roman" w:hAnsi="Times New Roman" w:eastAsia="宋体"/>
          <w:sz w:val="24"/>
        </w:rPr>
        <w:t>为面向人工智能科技前沿和山东省企业数智化转型需...</w:t>
      </w:r>
    </w:p>
    <w:p>
      <w:pPr>
        <w:spacing w:after="80" w:line="360" w:lineRule="auto"/>
        <w:ind w:firstLine="482"/>
        <w:jc w:val="both"/>
      </w:pPr>
      <w:r>
        <w:rPr>
          <w:rFonts w:ascii="Times New Roman" w:hAnsi="Times New Roman" w:eastAsia="宋体"/>
          <w:sz w:val="24"/>
        </w:rPr>
        <w:t>济南大学2026级研究生新生入学须知</w:t>
      </w:r>
    </w:p>
    <w:p>
      <w:pPr>
        <w:spacing w:after="80" w:line="360" w:lineRule="auto"/>
        <w:ind w:firstLine="482"/>
        <w:jc w:val="both"/>
      </w:pPr>
      <w:r>
        <w:rPr>
          <w:rFonts w:ascii="Times New Roman" w:hAnsi="Times New Roman" w:eastAsia="宋体"/>
          <w:sz w:val="24"/>
        </w:rPr>
        <w:t>亲爱的2026级研究生同学：济南大学全体师生员工热...</w:t>
      </w:r>
    </w:p>
    <w:p>
      <w:pPr>
        <w:spacing w:after="80" w:line="360" w:lineRule="auto"/>
        <w:ind w:firstLine="482"/>
        <w:jc w:val="both"/>
      </w:pPr>
      <w:r>
        <w:rPr>
          <w:rFonts w:ascii="Times New Roman" w:hAnsi="Times New Roman" w:eastAsia="宋体"/>
          <w:sz w:val="24"/>
        </w:rPr>
        <w:t>济南大学关于调整2027年硕士研究生招生...</w:t>
      </w:r>
    </w:p>
    <w:p>
      <w:pPr>
        <w:spacing w:after="80" w:line="360" w:lineRule="auto"/>
        <w:ind w:firstLine="482"/>
        <w:jc w:val="both"/>
      </w:pPr>
      <w:r>
        <w:rPr>
          <w:rFonts w:ascii="Times New Roman" w:hAnsi="Times New Roman" w:eastAsia="宋体"/>
          <w:sz w:val="24"/>
        </w:rPr>
        <w:t>经论证研究，我校拟对2027年硕士研究生招生考试初...</w:t>
      </w:r>
    </w:p>
    <w:p>
      <w:pPr>
        <w:spacing w:after="80" w:line="360" w:lineRule="auto"/>
        <w:ind w:firstLine="482"/>
        <w:jc w:val="both"/>
      </w:pPr>
      <w:r>
        <w:rPr>
          <w:rFonts w:ascii="Times New Roman" w:hAnsi="Times New Roman" w:eastAsia="宋体"/>
          <w:sz w:val="24"/>
        </w:rPr>
        <w:t>关于2026年拟录取研究生信息确认、调档...</w:t>
      </w:r>
    </w:p>
    <w:p>
      <w:pPr>
        <w:spacing w:after="80" w:line="360" w:lineRule="auto"/>
        <w:ind w:firstLine="482"/>
        <w:jc w:val="both"/>
      </w:pPr>
      <w:r>
        <w:rPr>
          <w:rFonts w:ascii="Times New Roman" w:hAnsi="Times New Roman" w:eastAsia="宋体"/>
          <w:sz w:val="24"/>
        </w:rPr>
        <w:t>各位同学：我校2026年研究生录取工作已全部结束。...</w:t>
      </w:r>
    </w:p>
    <w:p>
      <w:pPr>
        <w:spacing w:after="80" w:line="360" w:lineRule="auto"/>
        <w:ind w:firstLine="482"/>
        <w:jc w:val="both"/>
      </w:pPr>
      <w:r>
        <w:rPr>
          <w:rFonts w:ascii="Times New Roman" w:hAnsi="Times New Roman" w:eastAsia="宋体"/>
          <w:sz w:val="24"/>
        </w:rPr>
        <w:t>济南大学2026年博士研究生拟录取名单公...</w:t>
      </w:r>
    </w:p>
    <w:p>
      <w:pPr>
        <w:spacing w:after="80" w:line="360" w:lineRule="auto"/>
        <w:ind w:firstLine="482"/>
        <w:jc w:val="both"/>
      </w:pPr>
      <w:r>
        <w:rPr>
          <w:rFonts w:ascii="Times New Roman" w:hAnsi="Times New Roman" w:eastAsia="宋体"/>
          <w:sz w:val="24"/>
        </w:rPr>
        <w:t>公示时间：2026年6月1日至7日联系电话：0531-89736...</w:t>
      </w:r>
    </w:p>
    <w:p>
      <w:pPr>
        <w:spacing w:after="80" w:line="360" w:lineRule="auto"/>
        <w:ind w:firstLine="482"/>
        <w:jc w:val="both"/>
      </w:pPr>
      <w:r>
        <w:rPr>
          <w:rFonts w:ascii="Times New Roman" w:hAnsi="Times New Roman" w:eastAsia="宋体"/>
          <w:sz w:val="24"/>
        </w:rPr>
        <w:t>2026年同等学力申请硕士学位全国统考济...</w:t>
      </w:r>
    </w:p>
    <w:p>
      <w:pPr>
        <w:spacing w:after="80" w:line="360" w:lineRule="auto"/>
        <w:ind w:firstLine="482"/>
        <w:jc w:val="both"/>
      </w:pPr>
      <w:r>
        <w:rPr>
          <w:rFonts w:ascii="Times New Roman" w:hAnsi="Times New Roman" w:eastAsia="宋体"/>
          <w:sz w:val="24"/>
        </w:rPr>
        <w:t>各位考生：根据山东省教育招生考试院统一部署，202...</w:t>
      </w:r>
    </w:p>
    <w:p>
      <w:pPr>
        <w:spacing w:after="80" w:line="360" w:lineRule="auto"/>
        <w:ind w:firstLine="482"/>
        <w:jc w:val="both"/>
      </w:pPr>
      <w:r>
        <w:rPr>
          <w:rFonts w:ascii="Times New Roman" w:hAnsi="Times New Roman" w:eastAsia="宋体"/>
          <w:sz w:val="24"/>
        </w:rPr>
        <w:t>硕士招生专业目录</w:t>
      </w:r>
    </w:p>
    <w:p>
      <w:pPr>
        <w:spacing w:after="80" w:line="360" w:lineRule="auto"/>
        <w:ind w:firstLine="482"/>
        <w:jc w:val="both"/>
      </w:pPr>
      <w:r>
        <w:rPr>
          <w:rFonts w:ascii="Times New Roman" w:hAnsi="Times New Roman" w:eastAsia="宋体"/>
          <w:sz w:val="24"/>
        </w:rPr>
        <w:t>博士招生专业目录</w:t>
      </w:r>
    </w:p>
    <w:p>
      <w:pPr>
        <w:spacing w:after="80" w:line="360" w:lineRule="auto"/>
        <w:ind w:firstLine="482"/>
        <w:jc w:val="both"/>
      </w:pPr>
      <w:r>
        <w:rPr>
          <w:rFonts w:ascii="Times New Roman" w:hAnsi="Times New Roman" w:eastAsia="宋体"/>
          <w:sz w:val="24"/>
        </w:rPr>
        <w:t>硕士生导师</w:t>
      </w:r>
    </w:p>
    <w:p>
      <w:pPr>
        <w:spacing w:after="80" w:line="360" w:lineRule="auto"/>
        <w:ind w:firstLine="482"/>
        <w:jc w:val="both"/>
      </w:pPr>
      <w:r>
        <w:rPr>
          <w:rFonts w:ascii="Times New Roman" w:hAnsi="Times New Roman" w:eastAsia="宋体"/>
          <w:sz w:val="24"/>
        </w:rPr>
        <w:t>博士生导师</w:t>
      </w:r>
    </w:p>
    <w:p>
      <w:pPr>
        <w:spacing w:after="80" w:line="360" w:lineRule="auto"/>
        <w:ind w:firstLine="482"/>
        <w:jc w:val="both"/>
      </w:pPr>
      <w:r>
        <w:rPr>
          <w:rFonts w:ascii="Times New Roman" w:hAnsi="Times New Roman" w:eastAsia="宋体"/>
          <w:sz w:val="24"/>
        </w:rPr>
        <w:t>考研智能问答</w:t>
      </w:r>
    </w:p>
    <w:p>
      <w:pPr>
        <w:spacing w:after="80" w:line="360" w:lineRule="auto"/>
        <w:ind w:firstLine="482"/>
        <w:jc w:val="both"/>
      </w:pPr>
      <w:r>
        <w:rPr>
          <w:rFonts w:ascii="Times New Roman" w:hAnsi="Times New Roman" w:eastAsia="宋体"/>
          <w:sz w:val="24"/>
        </w:rPr>
        <w:t>+更多硕士招生</w:t>
      </w:r>
    </w:p>
    <w:p>
      <w:pPr>
        <w:spacing w:after="80" w:line="360" w:lineRule="auto"/>
        <w:ind w:firstLine="482"/>
        <w:jc w:val="both"/>
      </w:pPr>
      <w:r>
        <w:rPr>
          <w:rFonts w:ascii="Times New Roman" w:hAnsi="Times New Roman" w:eastAsia="宋体"/>
          <w:sz w:val="24"/>
        </w:rPr>
        <w:t>济南大学关于调整2027年硕士研究生招生考试部分初试科目的提示</w:t>
      </w:r>
    </w:p>
    <w:p>
      <w:pPr>
        <w:spacing w:after="80" w:line="360" w:lineRule="auto"/>
        <w:ind w:firstLine="482"/>
        <w:jc w:val="both"/>
      </w:pPr>
      <w:r>
        <w:rPr>
          <w:rFonts w:ascii="Times New Roman" w:hAnsi="Times New Roman" w:eastAsia="宋体"/>
          <w:sz w:val="24"/>
        </w:rPr>
        <w:t>经论证研究，我校拟对2027年硕士研究生招生考试初试部分科目进行调整，调整内容如下：070300化学，业务课一考试科目拟统一调整为623无...</w:t>
      </w:r>
    </w:p>
    <w:p>
      <w:pPr>
        <w:spacing w:after="80" w:line="360" w:lineRule="auto"/>
        <w:ind w:firstLine="482"/>
        <w:jc w:val="both"/>
      </w:pPr>
      <w:r>
        <w:rPr>
          <w:rFonts w:ascii="Times New Roman" w:hAnsi="Times New Roman" w:eastAsia="宋体"/>
          <w:sz w:val="24"/>
        </w:rPr>
        <w:t>济南大学2026年硕士研究生拟录取名单</w:t>
      </w:r>
    </w:p>
    <w:p>
      <w:pPr>
        <w:spacing w:after="80" w:line="360" w:lineRule="auto"/>
        <w:ind w:firstLine="482"/>
        <w:jc w:val="both"/>
      </w:pPr>
      <w:r>
        <w:rPr>
          <w:rFonts w:ascii="Times New Roman" w:hAnsi="Times New Roman" w:eastAsia="宋体"/>
          <w:sz w:val="24"/>
        </w:rPr>
        <w:t>拟录取名单将会随录取进程实时更新，请以最新名单为准。标*考生为退役大学生士兵计划考生。最终的拟录取名单将公示7天，至5月6日00:00...</w:t>
      </w:r>
    </w:p>
    <w:p>
      <w:pPr>
        <w:spacing w:after="80" w:line="360" w:lineRule="auto"/>
        <w:ind w:firstLine="482"/>
        <w:jc w:val="both"/>
      </w:pPr>
      <w:r>
        <w:rPr>
          <w:rFonts w:ascii="Times New Roman" w:hAnsi="Times New Roman" w:eastAsia="宋体"/>
          <w:sz w:val="24"/>
        </w:rPr>
        <w:t>济南大学2026年硕士研究生复试注意事项</w:t>
      </w:r>
    </w:p>
    <w:p>
      <w:pPr>
        <w:spacing w:before="160" w:after="80" w:line="360" w:lineRule="auto"/>
      </w:pPr>
      <w:r>
        <w:rPr>
          <w:rFonts w:ascii="Times New Roman" w:hAnsi="Times New Roman" w:eastAsia="宋体"/>
          <w:b/>
          <w:sz w:val="28"/>
        </w:rPr>
        <w:t>一、考生复试前准备材料1.准考证；2.有效身份证；3.教育部学籍在线验证报告（应届生）或教育部学历证书电子注册备案表（往届生）；4....</w:t>
      </w:r>
    </w:p>
    <w:p>
      <w:pPr>
        <w:spacing w:after="80" w:line="360" w:lineRule="auto"/>
        <w:ind w:firstLine="482"/>
        <w:jc w:val="both"/>
      </w:pPr>
      <w:r>
        <w:rPr>
          <w:rFonts w:ascii="Times New Roman" w:hAnsi="Times New Roman" w:eastAsia="宋体"/>
          <w:sz w:val="24"/>
        </w:rPr>
        <w:t>2026年各学院硕士研究生复试录取方案及安排</w:t>
      </w:r>
    </w:p>
    <w:p>
      <w:pPr>
        <w:spacing w:after="80" w:line="360" w:lineRule="auto"/>
        <w:ind w:firstLine="482"/>
        <w:jc w:val="both"/>
      </w:pPr>
      <w:r>
        <w:rPr>
          <w:rFonts w:ascii="Times New Roman" w:hAnsi="Times New Roman" w:eastAsia="宋体"/>
          <w:sz w:val="24"/>
        </w:rPr>
        <w:t>https://yanzhao.ujn.edu.cn/zsFsFsfasbCltj/enterViewFsfa?nd=2026&amp;fsfalx=1</w:t>
      </w:r>
    </w:p>
    <w:p>
      <w:pPr>
        <w:spacing w:after="80" w:line="360" w:lineRule="auto"/>
        <w:ind w:firstLine="482"/>
        <w:jc w:val="both"/>
      </w:pPr>
      <w:r>
        <w:rPr>
          <w:rFonts w:ascii="Times New Roman" w:hAnsi="Times New Roman" w:eastAsia="宋体"/>
          <w:sz w:val="24"/>
        </w:rPr>
        <w:t>+更多博士招生</w:t>
      </w:r>
    </w:p>
    <w:p>
      <w:pPr>
        <w:spacing w:after="80" w:line="360" w:lineRule="auto"/>
        <w:ind w:firstLine="482"/>
        <w:jc w:val="both"/>
      </w:pPr>
      <w:r>
        <w:rPr>
          <w:rFonts w:ascii="Times New Roman" w:hAnsi="Times New Roman" w:eastAsia="宋体"/>
          <w:sz w:val="24"/>
        </w:rPr>
        <w:t>关于统一博士研究生报名截止时间的公告</w:t>
      </w:r>
    </w:p>
    <w:p>
      <w:pPr>
        <w:spacing w:after="80" w:line="360" w:lineRule="auto"/>
        <w:ind w:firstLine="482"/>
        <w:jc w:val="both"/>
      </w:pPr>
      <w:r>
        <w:rPr>
          <w:rFonts w:ascii="Times New Roman" w:hAnsi="Times New Roman" w:eastAsia="宋体"/>
          <w:sz w:val="24"/>
        </w:rPr>
        <w:t>鉴于各招生单位博士研究生报名时间不尽一致，影响了招生工作的整体协调与有序推进。为保证招生工作顺利开展，根据学校工作安排，经研...</w:t>
      </w:r>
    </w:p>
    <w:p>
      <w:pPr>
        <w:spacing w:after="80" w:line="360" w:lineRule="auto"/>
        <w:ind w:firstLine="482"/>
        <w:jc w:val="both"/>
      </w:pPr>
      <w:r>
        <w:rPr>
          <w:rFonts w:ascii="Times New Roman" w:hAnsi="Times New Roman" w:eastAsia="宋体"/>
          <w:sz w:val="24"/>
        </w:rPr>
        <w:t>济南大学2026年申请考核博士研究生招生简章</w:t>
      </w:r>
    </w:p>
    <w:p>
      <w:pPr>
        <w:spacing w:before="160" w:after="80" w:line="360" w:lineRule="auto"/>
      </w:pPr>
      <w:r>
        <w:rPr>
          <w:rFonts w:ascii="Times New Roman" w:hAnsi="Times New Roman" w:eastAsia="宋体"/>
          <w:b/>
          <w:sz w:val="28"/>
        </w:rPr>
        <w:t>一、招生类别我校原则上招收全日制非定向学术学位博士研究生。教育部高等研究院校企联合人才培养和科研攻关项目研究生招生计划（以下...</w:t>
      </w:r>
    </w:p>
    <w:p>
      <w:pPr>
        <w:spacing w:after="80" w:line="360" w:lineRule="auto"/>
        <w:ind w:firstLine="482"/>
        <w:jc w:val="both"/>
      </w:pPr>
      <w:r>
        <w:rPr>
          <w:rFonts w:ascii="Times New Roman" w:hAnsi="Times New Roman" w:eastAsia="宋体"/>
          <w:sz w:val="24"/>
        </w:rPr>
        <w:t>关于做好2026年硕博连读研究生招生选拔工作的通知</w:t>
      </w:r>
    </w:p>
    <w:p>
      <w:pPr>
        <w:spacing w:after="80" w:line="360" w:lineRule="auto"/>
        <w:ind w:firstLine="482"/>
        <w:jc w:val="both"/>
      </w:pPr>
      <w:r>
        <w:rPr>
          <w:rFonts w:ascii="Times New Roman" w:hAnsi="Times New Roman" w:eastAsia="宋体"/>
          <w:sz w:val="24"/>
        </w:rPr>
        <w:t>为鼓励我校品学兼优的在学硕士研究生继续深造攻读博士学位，提高博士研究生的科研创新能力和培养质量，现将我校2026年硕博连读研究生...</w:t>
      </w:r>
    </w:p>
    <w:p>
      <w:pPr>
        <w:spacing w:after="80" w:line="360" w:lineRule="auto"/>
        <w:ind w:firstLine="482"/>
        <w:jc w:val="both"/>
      </w:pPr>
      <w:r>
        <w:rPr>
          <w:rFonts w:ascii="Times New Roman" w:hAnsi="Times New Roman" w:eastAsia="宋体"/>
          <w:sz w:val="24"/>
        </w:rPr>
        <w:t>+更多推免生接收</w:t>
      </w:r>
    </w:p>
    <w:p>
      <w:pPr>
        <w:spacing w:after="80" w:line="360" w:lineRule="auto"/>
        <w:ind w:firstLine="482"/>
        <w:jc w:val="both"/>
      </w:pPr>
      <w:r>
        <w:rPr>
          <w:rFonts w:ascii="Times New Roman" w:hAnsi="Times New Roman" w:eastAsia="宋体"/>
          <w:sz w:val="24"/>
        </w:rPr>
        <w:t>济南大学2026年各招生单位接收推免生复试方案及安排</w:t>
      </w:r>
    </w:p>
    <w:p>
      <w:pPr>
        <w:spacing w:after="80" w:line="360" w:lineRule="auto"/>
        <w:ind w:firstLine="482"/>
        <w:jc w:val="both"/>
      </w:pPr>
      <w:r>
        <w:rPr>
          <w:rFonts w:ascii="Times New Roman" w:hAnsi="Times New Roman" w:eastAsia="宋体"/>
          <w:sz w:val="24"/>
        </w:rPr>
        <w:t>济南大学2026年接收推免生复试工作暂行办法</w:t>
      </w:r>
    </w:p>
    <w:p>
      <w:pPr>
        <w:spacing w:after="80" w:line="360" w:lineRule="auto"/>
        <w:ind w:firstLine="482"/>
        <w:jc w:val="both"/>
      </w:pPr>
      <w:r>
        <w:rPr>
          <w:rFonts w:ascii="Times New Roman" w:hAnsi="Times New Roman" w:eastAsia="宋体"/>
          <w:sz w:val="24"/>
        </w:rPr>
        <w:t>根据上级文件精神，为做好我校2026年接收推荐优秀应届本科毕业生免试攻读研究生（以下简称“推免生”）的复试工作，特制定本办法。一...</w:t>
      </w:r>
    </w:p>
    <w:p>
      <w:pPr>
        <w:spacing w:after="80" w:line="360" w:lineRule="auto"/>
        <w:ind w:firstLine="482"/>
        <w:jc w:val="both"/>
      </w:pPr>
      <w:r>
        <w:rPr>
          <w:rFonts w:ascii="Times New Roman" w:hAnsi="Times New Roman" w:eastAsia="宋体"/>
          <w:sz w:val="24"/>
        </w:rPr>
        <w:t>济南大学2026年接收推免生工作章程</w:t>
      </w:r>
    </w:p>
    <w:p>
      <w:pPr>
        <w:spacing w:after="80" w:line="360" w:lineRule="auto"/>
        <w:ind w:firstLine="482"/>
        <w:jc w:val="both"/>
      </w:pPr>
      <w:r>
        <w:rPr>
          <w:rFonts w:ascii="Times New Roman" w:hAnsi="Times New Roman" w:eastAsia="宋体"/>
          <w:sz w:val="24"/>
        </w:rPr>
        <w:t>为确保我校2026年接收优秀应届本科毕业生免试攻读研究生工作规范有序，加强拔尖创新人才选拔，根据教育部有关文件精神，结合我校实际...</w:t>
      </w:r>
    </w:p>
    <w:p>
      <w:pPr>
        <w:spacing w:after="80" w:line="360" w:lineRule="auto"/>
        <w:ind w:firstLine="482"/>
        <w:jc w:val="both"/>
      </w:pPr>
      <w:r>
        <w:rPr>
          <w:rFonts w:ascii="Times New Roman" w:hAnsi="Times New Roman" w:eastAsia="宋体"/>
          <w:sz w:val="24"/>
        </w:rPr>
        <w:t>常用链接</w:t>
      </w:r>
    </w:p>
    <w:p>
      <w:pPr>
        <w:spacing w:after="80" w:line="360" w:lineRule="auto"/>
        <w:ind w:firstLine="482"/>
        <w:jc w:val="both"/>
      </w:pPr>
      <w:r>
        <w:rPr>
          <w:rFonts w:ascii="Times New Roman" w:hAnsi="Times New Roman" w:eastAsia="宋体"/>
          <w:sz w:val="24"/>
        </w:rPr>
        <w:t>山东省教育招生考试院</w:t>
      </w:r>
    </w:p>
    <w:p>
      <w:pPr>
        <w:spacing w:after="80" w:line="360" w:lineRule="auto"/>
        <w:ind w:firstLine="482"/>
        <w:jc w:val="both"/>
      </w:pPr>
      <w:r>
        <w:rPr>
          <w:rFonts w:ascii="Times New Roman" w:hAnsi="Times New Roman" w:eastAsia="宋体"/>
          <w:sz w:val="24"/>
        </w:rPr>
        <w:t>山东省教育厅</w:t>
      </w:r>
    </w:p>
    <w:p>
      <w:pPr>
        <w:spacing w:after="80" w:line="360" w:lineRule="auto"/>
        <w:ind w:firstLine="482"/>
        <w:jc w:val="both"/>
      </w:pPr>
      <w:r>
        <w:rPr>
          <w:rFonts w:ascii="Times New Roman" w:hAnsi="Times New Roman" w:eastAsia="宋体"/>
          <w:sz w:val="24"/>
        </w:rPr>
        <w:t>中国研究生招生信息网</w:t>
      </w:r>
    </w:p>
    <w:p>
      <w:pPr>
        <w:spacing w:after="80" w:line="360" w:lineRule="auto"/>
        <w:ind w:firstLine="482"/>
        <w:jc w:val="both"/>
      </w:pPr>
      <w:r>
        <w:rPr>
          <w:rFonts w:ascii="Times New Roman" w:hAnsi="Times New Roman" w:eastAsia="宋体"/>
          <w:sz w:val="24"/>
        </w:rPr>
        <w:t>中国学位与研究生教育网</w:t>
      </w:r>
    </w:p>
    <w:p>
      <w:pPr>
        <w:spacing w:after="80" w:line="360" w:lineRule="auto"/>
        <w:ind w:firstLine="482"/>
        <w:jc w:val="both"/>
      </w:pPr>
      <w:r>
        <w:rPr>
          <w:rFonts w:ascii="Times New Roman" w:hAnsi="Times New Roman" w:eastAsia="宋体"/>
          <w:sz w:val="24"/>
        </w:rPr>
        <w:t>中国高等教育学生信息网（学信网）</w:t>
      </w:r>
    </w:p>
    <w:p>
      <w:pPr>
        <w:spacing w:after="80" w:line="360" w:lineRule="auto"/>
        <w:ind w:firstLine="482"/>
        <w:jc w:val="both"/>
      </w:pPr>
      <w:r>
        <w:rPr>
          <w:rFonts w:ascii="Times New Roman" w:hAnsi="Times New Roman" w:eastAsia="宋体"/>
          <w:sz w:val="24"/>
        </w:rPr>
        <w:t>中华人民共和国教育部</w:t>
      </w:r>
    </w:p>
    <w:p/>
    <w:tbl>
      <w:tblPr>
        <w:tblStyle w:val="TableGrid"/>
        <w:tblW w:type="auto" w:w="0"/>
        <w:jc w:val="center"/>
        <w:tblLook w:firstColumn="1" w:firstRow="1" w:lastColumn="0" w:lastRow="0" w:noHBand="0" w:noVBand="1" w:val="04A0"/>
      </w:tblPr>
      <w:tblGrid>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gridCol w:w="432"/>
      </w:tblGrid>
      <w:tr>
        <w:tc>
          <w:tcPr>
            <w:tcW w:type="dxa" w:w="432"/>
          </w:tcPr>
          <w:p>
            <w:pPr>
              <w:jc w:val="center"/>
            </w:pPr>
            <w:r>
              <w:rPr>
                <w:rFonts w:ascii="Times New Roman" w:hAnsi="Times New Roman" w:eastAsia="宋体"/>
                <w:sz w:val="21"/>
              </w:rPr>
              <w:t>文学院</w:t>
            </w:r>
          </w:p>
        </w:tc>
        <w:tc>
          <w:tcPr>
            <w:tcW w:type="dxa" w:w="432"/>
          </w:tcPr>
          <w:p>
            <w:pPr>
              <w:jc w:val="center"/>
            </w:pPr>
            <w:r>
              <w:rPr>
                <w:rFonts w:ascii="Times New Roman" w:hAnsi="Times New Roman" w:eastAsia="宋体"/>
                <w:sz w:val="21"/>
              </w:rPr>
              <w:t>数学科学学院</w:t>
            </w:r>
          </w:p>
        </w:tc>
        <w:tc>
          <w:tcPr>
            <w:tcW w:type="dxa" w:w="432"/>
          </w:tcPr>
          <w:p>
            <w:pPr>
              <w:jc w:val="center"/>
            </w:pPr>
            <w:r>
              <w:rPr>
                <w:rFonts w:ascii="Times New Roman" w:hAnsi="Times New Roman" w:eastAsia="宋体"/>
                <w:sz w:val="21"/>
              </w:rPr>
              <w:t>物理科学与技术学院</w:t>
            </w:r>
          </w:p>
        </w:tc>
        <w:tc>
          <w:tcPr>
            <w:tcW w:type="dxa" w:w="432"/>
          </w:tcPr>
          <w:p>
            <w:pPr>
              <w:jc w:val="center"/>
            </w:pPr>
            <w:r>
              <w:rPr>
                <w:rFonts w:ascii="Times New Roman" w:hAnsi="Times New Roman" w:eastAsia="宋体"/>
                <w:sz w:val="21"/>
              </w:rPr>
              <w:t>商学院</w:t>
            </w:r>
          </w:p>
        </w:tc>
        <w:tc>
          <w:tcPr>
            <w:tcW w:type="dxa" w:w="432"/>
          </w:tcPr>
          <w:p>
            <w:pPr>
              <w:jc w:val="center"/>
            </w:pPr>
            <w:r>
              <w:rPr>
                <w:rFonts w:ascii="Times New Roman" w:hAnsi="Times New Roman" w:eastAsia="宋体"/>
                <w:sz w:val="21"/>
              </w:rPr>
              <w:t>外国语学院</w:t>
            </w:r>
          </w:p>
        </w:tc>
        <w:tc>
          <w:tcPr>
            <w:tcW w:type="dxa" w:w="432"/>
          </w:tcPr>
          <w:p>
            <w:pPr>
              <w:jc w:val="center"/>
            </w:pPr>
            <w:r>
              <w:rPr>
                <w:rFonts w:ascii="Times New Roman" w:hAnsi="Times New Roman" w:eastAsia="宋体"/>
                <w:sz w:val="21"/>
              </w:rPr>
              <w:t>政法学院</w:t>
            </w:r>
          </w:p>
        </w:tc>
        <w:tc>
          <w:tcPr>
            <w:tcW w:type="dxa" w:w="432"/>
          </w:tcPr>
          <w:p>
            <w:pPr>
              <w:jc w:val="center"/>
            </w:pPr>
            <w:r>
              <w:rPr>
                <w:rFonts w:ascii="Times New Roman" w:hAnsi="Times New Roman" w:eastAsia="宋体"/>
                <w:sz w:val="21"/>
              </w:rPr>
              <w:t>马克思主义学院</w:t>
            </w:r>
          </w:p>
        </w:tc>
        <w:tc>
          <w:tcPr>
            <w:tcW w:type="dxa" w:w="432"/>
          </w:tcPr>
          <w:p>
            <w:pPr>
              <w:jc w:val="center"/>
            </w:pPr>
            <w:r>
              <w:rPr>
                <w:rFonts w:ascii="Times New Roman" w:hAnsi="Times New Roman" w:eastAsia="宋体"/>
                <w:sz w:val="21"/>
              </w:rPr>
              <w:t>材料科学与工程学院</w:t>
            </w:r>
          </w:p>
        </w:tc>
        <w:tc>
          <w:tcPr>
            <w:tcW w:type="dxa" w:w="432"/>
          </w:tcPr>
          <w:p>
            <w:pPr>
              <w:jc w:val="center"/>
            </w:pPr>
            <w:r>
              <w:rPr>
                <w:rFonts w:ascii="Times New Roman" w:hAnsi="Times New Roman" w:eastAsia="宋体"/>
                <w:sz w:val="21"/>
              </w:rPr>
              <w:t>化学化工学院</w:t>
            </w:r>
          </w:p>
        </w:tc>
        <w:tc>
          <w:tcPr>
            <w:tcW w:type="dxa" w:w="432"/>
          </w:tcPr>
          <w:p>
            <w:pPr>
              <w:jc w:val="center"/>
            </w:pPr>
            <w:r>
              <w:rPr>
                <w:rFonts w:ascii="Times New Roman" w:hAnsi="Times New Roman" w:eastAsia="宋体"/>
                <w:sz w:val="21"/>
              </w:rPr>
              <w:t>机械工程学院</w:t>
            </w:r>
          </w:p>
        </w:tc>
        <w:tc>
          <w:tcPr>
            <w:tcW w:type="dxa" w:w="432"/>
          </w:tcPr>
          <w:p>
            <w:pPr>
              <w:jc w:val="center"/>
            </w:pPr>
            <w:r>
              <w:rPr>
                <w:rFonts w:ascii="Times New Roman" w:hAnsi="Times New Roman" w:eastAsia="宋体"/>
                <w:sz w:val="21"/>
              </w:rPr>
              <w:t>土木建筑学院</w:t>
            </w:r>
          </w:p>
        </w:tc>
        <w:tc>
          <w:tcPr>
            <w:tcW w:type="dxa" w:w="432"/>
          </w:tcPr>
          <w:p>
            <w:pPr>
              <w:jc w:val="center"/>
            </w:pPr>
            <w:r>
              <w:rPr>
                <w:rFonts w:ascii="Times New Roman" w:hAnsi="Times New Roman" w:eastAsia="宋体"/>
                <w:sz w:val="21"/>
              </w:rPr>
              <w:t>自动化与电气工程学院</w:t>
            </w:r>
          </w:p>
        </w:tc>
        <w:tc>
          <w:tcPr>
            <w:tcW w:type="dxa" w:w="432"/>
          </w:tcPr>
          <w:p>
            <w:pPr>
              <w:jc w:val="center"/>
            </w:pPr>
            <w:r>
              <w:rPr>
                <w:rFonts w:ascii="Times New Roman" w:hAnsi="Times New Roman" w:eastAsia="宋体"/>
                <w:sz w:val="21"/>
              </w:rPr>
              <w:t>信息科学与工程学院</w:t>
            </w:r>
          </w:p>
        </w:tc>
        <w:tc>
          <w:tcPr>
            <w:tcW w:type="dxa" w:w="432"/>
          </w:tcPr>
          <w:p>
            <w:pPr>
              <w:jc w:val="center"/>
            </w:pPr>
            <w:r>
              <w:rPr>
                <w:rFonts w:ascii="Times New Roman" w:hAnsi="Times New Roman" w:eastAsia="宋体"/>
                <w:sz w:val="21"/>
              </w:rPr>
              <w:t>水利与环境学院</w:t>
            </w:r>
          </w:p>
        </w:tc>
        <w:tc>
          <w:tcPr>
            <w:tcW w:type="dxa" w:w="432"/>
          </w:tcPr>
          <w:p>
            <w:pPr>
              <w:jc w:val="center"/>
            </w:pPr>
            <w:r>
              <w:rPr>
                <w:rFonts w:ascii="Times New Roman" w:hAnsi="Times New Roman" w:eastAsia="宋体"/>
                <w:sz w:val="21"/>
              </w:rPr>
              <w:t>体育学院</w:t>
            </w:r>
          </w:p>
        </w:tc>
        <w:tc>
          <w:tcPr>
            <w:tcW w:type="dxa" w:w="432"/>
          </w:tcPr>
          <w:p>
            <w:pPr>
              <w:jc w:val="center"/>
            </w:pPr>
            <w:r>
              <w:rPr>
                <w:rFonts w:ascii="Times New Roman" w:hAnsi="Times New Roman" w:eastAsia="宋体"/>
                <w:sz w:val="21"/>
              </w:rPr>
              <w:t>美术学院</w:t>
            </w:r>
          </w:p>
        </w:tc>
        <w:tc>
          <w:tcPr>
            <w:tcW w:type="dxa" w:w="432"/>
          </w:tcPr>
          <w:p>
            <w:pPr>
              <w:jc w:val="center"/>
            </w:pPr>
            <w:r>
              <w:rPr>
                <w:rFonts w:ascii="Times New Roman" w:hAnsi="Times New Roman" w:eastAsia="宋体"/>
                <w:sz w:val="21"/>
              </w:rPr>
              <w:t>音乐学院</w:t>
            </w:r>
          </w:p>
        </w:tc>
        <w:tc>
          <w:tcPr>
            <w:tcW w:type="dxa" w:w="432"/>
          </w:tcPr>
          <w:p>
            <w:pPr>
              <w:jc w:val="center"/>
            </w:pPr>
            <w:r>
              <w:rPr>
                <w:rFonts w:ascii="Times New Roman" w:hAnsi="Times New Roman" w:eastAsia="宋体"/>
                <w:sz w:val="21"/>
              </w:rPr>
              <w:t>文化和旅游学院</w:t>
            </w:r>
          </w:p>
        </w:tc>
        <w:tc>
          <w:tcPr>
            <w:tcW w:type="dxa" w:w="432"/>
          </w:tcPr>
          <w:p>
            <w:pPr>
              <w:jc w:val="center"/>
            </w:pPr>
            <w:r>
              <w:rPr>
                <w:rFonts w:ascii="Times New Roman" w:hAnsi="Times New Roman" w:eastAsia="宋体"/>
                <w:sz w:val="21"/>
              </w:rPr>
              <w:t>教育与心理科学学院</w:t>
            </w:r>
          </w:p>
        </w:tc>
        <w:tc>
          <w:tcPr>
            <w:tcW w:type="dxa" w:w="432"/>
          </w:tcPr>
          <w:p>
            <w:pPr>
              <w:jc w:val="center"/>
            </w:pPr>
            <w:r>
              <w:rPr>
                <w:rFonts w:ascii="Times New Roman" w:hAnsi="Times New Roman" w:eastAsia="宋体"/>
                <w:sz w:val="21"/>
              </w:rPr>
              <w:t>生物科学与技术学院</w:t>
            </w:r>
          </w:p>
        </w:tc>
      </w:tr>
      <w:tr>
        <w:tc>
          <w:tcPr>
            <w:tcW w:type="dxa" w:w="432"/>
          </w:tcPr>
          <w:p>
            <w:pPr>
              <w:jc w:val="center"/>
            </w:pPr>
            <w:r>
              <w:rPr>
                <w:rFonts w:ascii="Times New Roman" w:hAnsi="Times New Roman" w:eastAsia="宋体"/>
                <w:sz w:val="21"/>
              </w:rPr>
              <w:t>建筑材料重点实验室</w:t>
            </w:r>
          </w:p>
        </w:tc>
        <w:tc>
          <w:tcPr>
            <w:tcW w:type="dxa" w:w="432"/>
          </w:tcPr>
          <w:p>
            <w:pPr>
              <w:jc w:val="center"/>
            </w:pPr>
            <w:r>
              <w:rPr>
                <w:rFonts w:ascii="Times New Roman" w:hAnsi="Times New Roman" w:eastAsia="宋体"/>
                <w:sz w:val="21"/>
              </w:rPr>
              <w:t>前沿交叉科学研究院</w:t>
            </w:r>
          </w:p>
        </w:tc>
        <w:tc>
          <w:tcPr>
            <w:tcW w:type="dxa" w:w="432"/>
          </w:tcPr>
          <w:p>
            <w:pPr>
              <w:jc w:val="center"/>
            </w:pPr>
            <w:r>
              <w:rPr>
                <w:rFonts w:ascii="Times New Roman" w:hAnsi="Times New Roman" w:eastAsia="宋体"/>
                <w:sz w:val="21"/>
              </w:rPr>
              <w:t>表面分析与化学生物研究院</w:t>
            </w:r>
          </w:p>
        </w:tc>
        <w:tc>
          <w:tcPr>
            <w:tcW w:type="dxa" w:w="432"/>
          </w:tcPr>
          <w:p>
            <w:pPr>
              <w:jc w:val="center"/>
            </w:pPr>
            <w:r>
              <w:rPr>
                <w:rFonts w:ascii="Times New Roman" w:hAnsi="Times New Roman" w:eastAsia="宋体"/>
                <w:sz w:val="21"/>
              </w:rPr>
              <w:t>智能材料与工程研究院</w:t>
            </w:r>
          </w:p>
        </w:tc>
        <w:tc>
          <w:tcPr>
            <w:tcW w:type="dxa" w:w="432"/>
          </w:tcPr>
          <w:p>
            <w:pPr>
              <w:jc w:val="center"/>
            </w:pPr>
            <w:r>
              <w:rPr>
                <w:rFonts w:ascii="Times New Roman" w:hAnsi="Times New Roman" w:eastAsia="宋体"/>
                <w:sz w:val="21"/>
              </w:rPr>
              <w:t>人工智能研究院</w:t>
            </w:r>
          </w:p>
        </w:tc>
        <w:tc>
          <w:tcPr>
            <w:tcW w:type="dxa" w:w="432"/>
          </w:tcPr>
          <w:p>
            <w:pPr>
              <w:jc w:val="center"/>
            </w:pPr>
            <w:r>
              <w:rPr>
                <w:rFonts w:ascii="Times New Roman" w:hAnsi="Times New Roman" w:eastAsia="宋体"/>
                <w:sz w:val="21"/>
              </w:rPr>
              <w:t>网络环境智能计算技术重点实验室</w:t>
            </w:r>
          </w:p>
        </w:tc>
        <w:tc>
          <w:tcPr>
            <w:tcW w:type="dxa" w:w="432"/>
          </w:tcPr>
          <w:p>
            <w:pPr>
              <w:jc w:val="center"/>
            </w:pPr>
            <w:r>
              <w:rPr>
                <w:rFonts w:ascii="Times New Roman" w:hAnsi="Times New Roman" w:eastAsia="宋体"/>
                <w:sz w:val="21"/>
              </w:rPr>
              <w:t>扫一扫，关注官方微信</w:t>
            </w:r>
          </w:p>
        </w:tc>
        <w:tc>
          <w:tcPr>
            <w:tcW w:type="dxa" w:w="432"/>
          </w:tcPr>
          <w:p>
            <w:pPr>
              <w:jc w:val="center"/>
            </w:pPr>
            <w:r>
              <w:rPr>
                <w:rFonts w:ascii="Times New Roman" w:hAnsi="Times New Roman" w:eastAsia="宋体"/>
                <w:sz w:val="21"/>
              </w:rPr>
              <w:t>扫一扫，关注考研问答</w:t>
            </w:r>
          </w:p>
        </w:tc>
        <w:tc>
          <w:tcPr>
            <w:tcW w:type="dxa" w:w="432"/>
          </w:tcPr>
          <w:p>
            <w:pPr>
              <w:jc w:val="center"/>
            </w:pPr>
            <w:r>
              <w:rPr>
                <w:rFonts w:ascii="Times New Roman" w:hAnsi="Times New Roman" w:eastAsia="宋体"/>
                <w:sz w:val="21"/>
              </w:rPr>
              <w:t>地址：山东省济南市南辛庄西路336号 邮编：250022 电话：0531-82765949，E-mail：yzb@ujn.edu.cn</w:t>
            </w:r>
          </w:p>
        </w:tc>
        <w:tc>
          <w:tcPr>
            <w:tcW w:type="dxa" w:w="432"/>
          </w:tcPr>
          <w:p>
            <w:pPr>
              <w:jc w:val="center"/>
            </w:pPr>
            <w:r>
              <w:rPr>
                <w:rFonts w:ascii="Times New Roman" w:hAnsi="Times New Roman" w:eastAsia="宋体"/>
                <w:sz w:val="21"/>
              </w:rPr>
              <w:t>var myTouch = util.toucher(document.getElementById('myCarousel'));</w:t>
            </w:r>
          </w:p>
        </w:tc>
        <w:tc>
          <w:tcPr>
            <w:tcW w:type="dxa" w:w="432"/>
          </w:tcPr>
          <w:p>
            <w:pPr>
              <w:jc w:val="center"/>
            </w:pPr>
            <w:r>
              <w:rPr>
                <w:rFonts w:ascii="Times New Roman" w:hAnsi="Times New Roman" w:eastAsia="宋体"/>
                <w:sz w:val="21"/>
              </w:rPr>
              <w:t>myTouch.on('swipeLeft', function(e) {</w:t>
            </w:r>
          </w:p>
        </w:tc>
        <w:tc>
          <w:tcPr>
            <w:tcW w:type="dxa" w:w="432"/>
          </w:tcPr>
          <w:p>
            <w:pPr>
              <w:jc w:val="center"/>
            </w:pPr>
            <w:r>
              <w:rPr>
                <w:rFonts w:ascii="Times New Roman" w:hAnsi="Times New Roman" w:eastAsia="宋体"/>
                <w:sz w:val="21"/>
              </w:rPr>
              <w:t>$('#carright').click();</w:t>
            </w:r>
          </w:p>
        </w:tc>
        <w:tc>
          <w:tcPr>
            <w:tcW w:type="dxa" w:w="432"/>
          </w:tcPr>
          <w:p>
            <w:pPr>
              <w:jc w:val="center"/>
            </w:pPr>
            <w:r>
              <w:rPr>
                <w:rFonts w:ascii="Times New Roman" w:hAnsi="Times New Roman" w:eastAsia="宋体"/>
                <w:sz w:val="21"/>
              </w:rPr>
              <w:t>}).on('swipeRight', function(e) {</w:t>
            </w:r>
          </w:p>
        </w:tc>
        <w:tc>
          <w:tcPr>
            <w:tcW w:type="dxa" w:w="432"/>
          </w:tcPr>
          <w:p>
            <w:pPr>
              <w:jc w:val="center"/>
            </w:pPr>
            <w:r>
              <w:rPr>
                <w:rFonts w:ascii="Times New Roman" w:hAnsi="Times New Roman" w:eastAsia="宋体"/>
                <w:sz w:val="21"/>
              </w:rPr>
              <w:t>$('#carleft').click();</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$().ready(function(){</w:t>
            </w:r>
          </w:p>
        </w:tc>
        <w:tc>
          <w:tcPr>
            <w:tcW w:type="dxa" w:w="432"/>
          </w:tcPr>
          <w:p>
            <w:pPr>
              <w:jc w:val="center"/>
            </w:pPr>
            <w:r>
              <w:rPr>
                <w:rFonts w:ascii="Times New Roman" w:hAnsi="Times New Roman" w:eastAsia="宋体"/>
                <w:sz w:val="21"/>
              </w:rPr>
              <w:t>$('ul:eq(0)').children().eq(0).attr('class','active');</w:t>
            </w:r>
          </w:p>
        </w:tc>
        <w:tc>
          <w:tcPr>
            <w:tcW w:type="dxa" w:w="432"/>
          </w:tcPr>
          <w:p>
            <w:pPr>
              <w:jc w:val="center"/>
            </w:pPr>
            <w:r>
              <w:rPr>
                <w:rFonts w:ascii="Times New Roman" w:hAnsi="Times New Roman" w:eastAsia="宋体"/>
                <w:sz w:val="21"/>
              </w:rPr>
              <w:t>$("#xuanzetu").click(function(){</w:t>
            </w:r>
          </w:p>
        </w:tc>
        <w:tc>
          <w:tcPr>
            <w:tcW w:type="dxa" w:w="432"/>
          </w:tcPr>
          <w:p>
            <w:pPr>
              <w:jc w:val="center"/>
            </w:pPr>
            <w:r>
              <w:rPr>
                <w:rFonts w:ascii="Times New Roman" w:hAnsi="Times New Roman" w:eastAsia="宋体"/>
                <w:sz w:val="21"/>
              </w:rPr>
              <w:t>$("#xuanze").click();</w:t>
            </w:r>
          </w:p>
        </w:tc>
        <w:tc>
          <w:tcPr>
            <w:tcW w:type="dxa" w:w="432"/>
          </w:tcPr>
          <w:p>
            <w:pPr>
              <w:jc w:val="center"/>
            </w:pPr>
            <w:r>
              <w:rPr>
                <w:rFonts w:ascii="Times New Roman" w:hAnsi="Times New Roman" w:eastAsia="宋体"/>
                <w:sz w:val="21"/>
              </w:rPr>
              <w:t>});</w:t>
            </w:r>
          </w:p>
        </w:tc>
      </w:tr>
      <w:tr>
        <w:tc>
          <w:tcPr>
            <w:tcW w:type="dxa" w:w="432"/>
          </w:tcPr>
          <w:p>
            <w:pPr>
              <w:jc w:val="center"/>
            </w:pPr>
            <w:r>
              <w:rPr>
                <w:rFonts w:ascii="Times New Roman" w:hAnsi="Times New Roman" w:eastAsia="宋体"/>
                <w:sz w:val="21"/>
              </w:rPr>
              <w:t>$("#xuanze").change(function(){</w:t>
            </w:r>
          </w:p>
        </w:tc>
        <w:tc>
          <w:tcPr>
            <w:tcW w:type="dxa" w:w="432"/>
          </w:tcPr>
          <w:p>
            <w:pPr>
              <w:jc w:val="center"/>
            </w:pPr>
            <w:r>
              <w:rPr>
                <w:rFonts w:ascii="Times New Roman" w:hAnsi="Times New Roman" w:eastAsia="宋体"/>
                <w:sz w:val="21"/>
              </w:rPr>
              <w:t>var file = $("#xuanze").val();</w:t>
            </w:r>
          </w:p>
        </w:tc>
        <w:tc>
          <w:tcPr>
            <w:tcW w:type="dxa" w:w="432"/>
          </w:tcPr>
          <w:p>
            <w:pPr>
              <w:jc w:val="center"/>
            </w:pPr>
            <w:r>
              <w:rPr>
                <w:rFonts w:ascii="Times New Roman" w:hAnsi="Times New Roman" w:eastAsia="宋体"/>
                <w:sz w:val="21"/>
              </w:rPr>
              <w:t>var strFileName=file.replace(/^.+?\\([^\\]+?)(\.[^\.\\]*?)?$/gi,"$1");</w:t>
            </w:r>
          </w:p>
        </w:tc>
        <w:tc>
          <w:tcPr>
            <w:tcW w:type="dxa" w:w="432"/>
          </w:tcPr>
          <w:p>
            <w:pPr>
              <w:jc w:val="center"/>
            </w:pPr>
            <w:r>
              <w:rPr>
                <w:rFonts w:ascii="Times New Roman" w:hAnsi="Times New Roman" w:eastAsia="宋体"/>
                <w:sz w:val="21"/>
              </w:rPr>
              <w:t>var FileExt=file.replace(/.+\./,"");</w:t>
            </w:r>
          </w:p>
        </w:tc>
        <w:tc>
          <w:tcPr>
            <w:tcW w:type="dxa" w:w="432"/>
          </w:tcPr>
          <w:p>
            <w:pPr>
              <w:jc w:val="center"/>
            </w:pPr>
            <w:r>
              <w:rPr>
                <w:rFonts w:ascii="Times New Roman" w:hAnsi="Times New Roman" w:eastAsia="宋体"/>
                <w:sz w:val="21"/>
              </w:rPr>
              <w:t>$("#xinxi").text(strFileName);</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 "#demo" ).dialog({</w:t>
            </w:r>
          </w:p>
        </w:tc>
        <w:tc>
          <w:tcPr>
            <w:tcW w:type="dxa" w:w="432"/>
          </w:tcPr>
          <w:p>
            <w:pPr>
              <w:jc w:val="center"/>
            </w:pPr>
            <w:r>
              <w:rPr>
                <w:rFonts w:ascii="Times New Roman" w:hAnsi="Times New Roman" w:eastAsia="宋体"/>
                <w:sz w:val="21"/>
              </w:rPr>
              <w:t>modal : true,</w:t>
            </w:r>
          </w:p>
        </w:tc>
        <w:tc>
          <w:tcPr>
            <w:tcW w:type="dxa" w:w="432"/>
          </w:tcPr>
          <w:p>
            <w:pPr>
              <w:jc w:val="center"/>
            </w:pPr>
            <w:r>
              <w:rPr>
                <w:rFonts w:ascii="Times New Roman" w:hAnsi="Times New Roman" w:eastAsia="宋体"/>
                <w:sz w:val="21"/>
              </w:rPr>
              <w:t>autoOpen: false,</w:t>
            </w:r>
          </w:p>
        </w:tc>
        <w:tc>
          <w:tcPr>
            <w:tcW w:type="dxa" w:w="432"/>
          </w:tcPr>
          <w:p>
            <w:pPr>
              <w:jc w:val="center"/>
            </w:pPr>
            <w:r>
              <w:rPr>
                <w:rFonts w:ascii="Times New Roman" w:hAnsi="Times New Roman" w:eastAsia="宋体"/>
                <w:sz w:val="21"/>
              </w:rPr>
              <w:t>show: {</w:t>
            </w:r>
          </w:p>
        </w:tc>
        <w:tc>
          <w:tcPr>
            <w:tcW w:type="dxa" w:w="432"/>
          </w:tcPr>
          <w:p>
            <w:pPr>
              <w:jc w:val="center"/>
            </w:pPr>
            <w:r>
              <w:rPr>
                <w:rFonts w:ascii="Times New Roman" w:hAnsi="Times New Roman" w:eastAsia="宋体"/>
                <w:sz w:val="21"/>
              </w:rPr>
              <w:t>effect: "blind",</w:t>
            </w:r>
          </w:p>
        </w:tc>
        <w:tc>
          <w:tcPr>
            <w:tcW w:type="dxa" w:w="432"/>
          </w:tcPr>
          <w:p>
            <w:pPr>
              <w:jc w:val="center"/>
            </w:pPr>
            <w:r>
              <w:rPr>
                <w:rFonts w:ascii="Times New Roman" w:hAnsi="Times New Roman" w:eastAsia="宋体"/>
                <w:sz w:val="21"/>
              </w:rPr>
              <w:t>duration: 1000</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hide: {</w:t>
            </w:r>
          </w:p>
        </w:tc>
        <w:tc>
          <w:tcPr>
            <w:tcW w:type="dxa" w:w="432"/>
          </w:tcPr>
          <w:p>
            <w:pPr>
              <w:jc w:val="center"/>
            </w:pPr>
            <w:r>
              <w:rPr>
                <w:rFonts w:ascii="Times New Roman" w:hAnsi="Times New Roman" w:eastAsia="宋体"/>
                <w:sz w:val="21"/>
              </w:rPr>
              <w:t>effect: "explode",</w:t>
            </w:r>
          </w:p>
        </w:tc>
        <w:tc>
          <w:tcPr>
            <w:tcW w:type="dxa" w:w="432"/>
          </w:tcPr>
          <w:p>
            <w:pPr>
              <w:jc w:val="center"/>
            </w:pPr>
            <w:r>
              <w:rPr>
                <w:rFonts w:ascii="Times New Roman" w:hAnsi="Times New Roman" w:eastAsia="宋体"/>
                <w:sz w:val="21"/>
              </w:rPr>
              <w:t>duration: 1000</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 "#wysc" ).click(function() {</w:t>
            </w:r>
          </w:p>
        </w:tc>
        <w:tc>
          <w:tcPr>
            <w:tcW w:type="dxa" w:w="432"/>
          </w:tcPr>
          <w:p>
            <w:pPr>
              <w:jc w:val="center"/>
            </w:pPr>
            <w:r>
              <w:rPr>
                <w:rFonts w:ascii="Times New Roman" w:hAnsi="Times New Roman" w:eastAsia="宋体"/>
                <w:sz w:val="21"/>
              </w:rPr>
              <w:t>$( "#demo" ).dialog( "open" );</w:t>
            </w:r>
          </w:p>
        </w:tc>
      </w:tr>
      <w:tr>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$('ul:eq(0)').children().hover(function(){</w:t>
            </w:r>
          </w:p>
        </w:tc>
        <w:tc>
          <w:tcPr>
            <w:tcW w:type="dxa" w:w="432"/>
          </w:tcPr>
          <w:p>
            <w:pPr>
              <w:jc w:val="center"/>
            </w:pPr>
            <w:r>
              <w:rPr>
                <w:rFonts w:ascii="Times New Roman" w:hAnsi="Times New Roman" w:eastAsia="宋体"/>
                <w:sz w:val="21"/>
              </w:rPr>
              <w:t>$(this).attr('class','active');</w:t>
            </w:r>
          </w:p>
        </w:tc>
        <w:tc>
          <w:tcPr>
            <w:tcW w:type="dxa" w:w="432"/>
          </w:tcPr>
          <w:p>
            <w:pPr>
              <w:jc w:val="center"/>
            </w:pPr>
            <w:r>
              <w:rPr>
                <w:rFonts w:ascii="Times New Roman" w:hAnsi="Times New Roman" w:eastAsia="宋体"/>
                <w:sz w:val="21"/>
              </w:rPr>
              <w:t>$(this).siblings().attr('class','');</w:t>
            </w:r>
          </w:p>
        </w:tc>
        <w:tc>
          <w:tcPr>
            <w:tcW w:type="dxa" w:w="432"/>
          </w:tcPr>
          <w:p>
            <w:pPr>
              <w:jc w:val="center"/>
            </w:pPr>
            <w:r>
              <w:rPr>
                <w:rFonts w:ascii="Times New Roman" w:hAnsi="Times New Roman" w:eastAsia="宋体"/>
                <w:sz w:val="21"/>
              </w:rPr>
              <w:t>$(this).mouseout(function(){</w:t>
            </w:r>
          </w:p>
        </w:tc>
        <w:tc>
          <w:tcPr>
            <w:tcW w:type="dxa" w:w="432"/>
          </w:tcPr>
          <w:p>
            <w:pPr>
              <w:jc w:val="center"/>
            </w:pPr>
            <w:r>
              <w:rPr>
                <w:rFonts w:ascii="Times New Roman" w:hAnsi="Times New Roman" w:eastAsia="宋体"/>
                <w:sz w:val="21"/>
              </w:rPr>
              <w:t>$('ul:eq(0)').children().eq(0).attr('class','active');</w:t>
            </w:r>
          </w:p>
        </w:tc>
        <w:tc>
          <w:tcPr>
            <w:tcW w:type="dxa" w:w="432"/>
          </w:tcPr>
          <w:p>
            <w:pPr>
              <w:jc w:val="center"/>
            </w:pPr>
            <w:r>
              <w:rPr>
                <w:rFonts w:ascii="Times New Roman" w:hAnsi="Times New Roman" w:eastAsia="宋体"/>
                <w:sz w:val="21"/>
              </w:rPr>
              <w:t>$('ul:eq(0)').children().eq(0).siblings().attr('class','');</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$("#demo").dialog();</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function preview(file)</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var prevDiv = document.getElementById('preview');</w:t>
            </w:r>
          </w:p>
        </w:tc>
        <w:tc>
          <w:tcPr>
            <w:tcW w:type="dxa" w:w="432"/>
          </w:tcPr>
          <w:p>
            <w:pPr>
              <w:jc w:val="center"/>
            </w:pPr>
            <w:r>
              <w:rPr>
                <w:rFonts w:ascii="Times New Roman" w:hAnsi="Times New Roman" w:eastAsia="宋体"/>
                <w:sz w:val="21"/>
              </w:rPr>
              <w:t>if (file.files &amp;&amp; file.files[0])</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var reader = new FileReader();</w:t>
            </w:r>
          </w:p>
        </w:tc>
        <w:tc>
          <w:tcPr>
            <w:tcW w:type="dxa" w:w="432"/>
          </w:tcPr>
          <w:p>
            <w:pPr>
              <w:jc w:val="center"/>
            </w:pPr>
            <w:r>
              <w:rPr>
                <w:rFonts w:ascii="Times New Roman" w:hAnsi="Times New Roman" w:eastAsia="宋体"/>
                <w:sz w:val="21"/>
              </w:rPr>
              <w:t>reader.onload = function(evt){</w:t>
            </w:r>
          </w:p>
        </w:tc>
        <w:tc>
          <w:tcPr>
            <w:tcW w:type="dxa" w:w="432"/>
          </w:tcPr>
          <w:p>
            <w:pPr>
              <w:jc w:val="center"/>
            </w:pPr>
            <w:r>
              <w:rPr>
                <w:rFonts w:ascii="Times New Roman" w:hAnsi="Times New Roman" w:eastAsia="宋体"/>
                <w:sz w:val="21"/>
              </w:rPr>
              <w:t>prevDiv.innerHTML = '';</w:t>
            </w:r>
          </w:p>
        </w:tc>
        <w:tc>
          <w:tcPr>
            <w:tcW w:type="dxa" w:w="432"/>
          </w:tcPr>
          <w:p>
            <w:pPr>
              <w:jc w:val="center"/>
            </w:pPr>
            <w:r>
              <w:rPr>
                <w:rFonts w:ascii="Times New Roman" w:hAnsi="Times New Roman" w:eastAsia="宋体"/>
                <w:sz w:val="21"/>
              </w:rPr>
              <w:t>}</w:t>
            </w:r>
          </w:p>
        </w:tc>
      </w:tr>
      <w:tr>
        <w:tc>
          <w:tcPr>
            <w:tcW w:type="dxa" w:w="432"/>
          </w:tcPr>
          <w:p>
            <w:pPr>
              <w:jc w:val="center"/>
            </w:pPr>
            <w:r>
              <w:rPr>
                <w:rFonts w:ascii="Times New Roman" w:hAnsi="Times New Roman" w:eastAsia="宋体"/>
                <w:sz w:val="21"/>
              </w:rPr>
              <w:t>reader.readAsDataURL(file.files[0]);</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else</w:t>
            </w:r>
          </w:p>
        </w:tc>
        <w:tc>
          <w:tcPr>
            <w:tcW w:type="dxa" w:w="432"/>
          </w:tcPr>
          <w:p>
            <w:pPr>
              <w:jc w:val="center"/>
            </w:pPr>
            <w:r>
              <w:rPr>
                <w:rFonts w:ascii="Times New Roman" w:hAnsi="Times New Roman" w:eastAsia="宋体"/>
                <w:sz w:val="21"/>
              </w:rPr>
              <w:t>{</w:t>
            </w:r>
          </w:p>
        </w:tc>
        <w:tc>
          <w:tcPr>
            <w:tcW w:type="dxa" w:w="432"/>
          </w:tcPr>
          <w:p>
            <w:pPr>
              <w:jc w:val="center"/>
            </w:pPr>
            <w:r>
              <w:rPr>
                <w:rFonts w:ascii="Times New Roman" w:hAnsi="Times New Roman" w:eastAsia="宋体"/>
                <w:sz w:val="21"/>
              </w:rPr>
              <w:t>prevDiv.innerHTML = '</w:t>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c>
          <w:tcPr>
            <w:tcW w:type="dxa" w:w="432"/>
          </w:tcPr>
          <w:p>
            <w:pPr>
              <w:jc w:val="center"/>
            </w:pPr>
            <w:r>
              <w:rPr>
                <w:rFonts w:ascii="Times New Roman" w:hAnsi="Times New Roman" w:eastAsia="宋体"/>
                <w:sz w:val="21"/>
              </w:rPr>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