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附件3：</w:t>
      </w:r>
    </w:p>
    <w:p>
      <w:pPr>
        <w:spacing w:after="80" w:lineRule="auto" w:line="360"/>
        <w:ind w:firstLine="482"/>
        <w:jc w:val="both"/>
      </w:pPr>
      <w:r>
        <w:rPr>
          <w:rFonts w:ascii="Times New Roman" w:hAnsi="Times New Roman" w:eastAsia="宋体"/>
          <w:b w:val="0"/>
          <w:sz w:val="24"/>
        </w:rPr>
        <w:t>延安大学文学与新闻传播学院推免生综合素质成果认定细则</w:t>
      </w:r>
    </w:p>
    <w:p>
      <w:pPr>
        <w:spacing w:after="80" w:lineRule="auto" w:line="360"/>
        <w:ind w:firstLine="482"/>
        <w:jc w:val="both"/>
      </w:pPr>
      <w:r>
        <w:rPr>
          <w:rFonts w:ascii="Times New Roman" w:hAnsi="Times New Roman" w:eastAsia="宋体"/>
          <w:b w:val="0"/>
          <w:sz w:val="24"/>
        </w:rPr>
        <w:t>发布日期（推定）：2025年6月24日</w:t>
      </w:r>
    </w:p>
    <w:p>
      <w:pPr>
        <w:spacing w:after="80" w:lineRule="auto" w:line="360"/>
        <w:ind w:firstLine="482"/>
        <w:jc w:val="both"/>
      </w:pPr>
      <w:r>
        <w:rPr>
          <w:rFonts w:ascii="Times New Roman" w:hAnsi="Times New Roman" w:eastAsia="宋体"/>
          <w:b w:val="0"/>
          <w:sz w:val="24"/>
        </w:rPr>
        <w:t>第一条 为激发学生学术潜力、提升创新能力、促进学生全面发展，规范推免生选拔过程中的创新综合素质奖励加分工作，结合《延安大学推荐优秀应届本科毕业生免试攻读硕士学位研究生实施办法》《延安大学推免生综合素质成果认定细则》，文学与新闻传播学院特制订本细则。</w:t>
      </w:r>
    </w:p>
    <w:p>
      <w:pPr>
        <w:spacing w:after="80" w:lineRule="auto" w:line="360"/>
        <w:ind w:firstLine="482"/>
        <w:jc w:val="both"/>
      </w:pPr>
      <w:r>
        <w:rPr>
          <w:rFonts w:ascii="Times New Roman" w:hAnsi="Times New Roman" w:eastAsia="宋体"/>
          <w:b w:val="0"/>
          <w:sz w:val="24"/>
        </w:rPr>
        <w:t>第二条 认定标准</w:t>
      </w:r>
    </w:p>
    <w:p>
      <w:pPr>
        <w:spacing w:after="80" w:lineRule="auto" w:line="360"/>
        <w:ind w:firstLine="482"/>
        <w:jc w:val="both"/>
      </w:pPr>
      <w:r>
        <w:rPr>
          <w:rFonts w:ascii="Times New Roman" w:hAnsi="Times New Roman" w:eastAsia="宋体"/>
          <w:b w:val="0"/>
          <w:sz w:val="24"/>
        </w:rPr>
        <w:t>1. 论文署名第一单位应为延安大学，前三名作者在本专业领域的学术期刊上发表SSCI（A&amp;HCI）Ⅲ区以上、CSSCI、CSCD、北大核心、科技核心，每篇文章分别认定2分、1.6分、1.2分、0.8分、0.4分，按照排名积分递减。以第一作者（含独著）在本专业领域的普通学术期刊上公开发表论文，每篇认定0.2分（中国知网可查询，累计不超过2篇）。</w:t>
      </w:r>
    </w:p>
    <w:p>
      <w:pPr>
        <w:spacing w:after="80" w:lineRule="auto" w:line="360"/>
        <w:ind w:firstLine="482"/>
        <w:jc w:val="both"/>
      </w:pPr>
      <w:r>
        <w:rPr>
          <w:rFonts w:ascii="Times New Roman" w:hAnsi="Times New Roman" w:eastAsia="宋体"/>
          <w:b w:val="0"/>
          <w:sz w:val="24"/>
        </w:rPr>
        <w:t>2. 依照《全国普通高校大学生竞赛目录》《延安大学本科生学科竞赛管理办法》公布的竞赛和学院学科竞赛实际情况，对参加学科竞赛获奖者认定分数，认定标准如下：</w:t>
      </w:r>
    </w:p>
    <w:p>
      <w:pPr>
        <w:spacing w:after="80" w:lineRule="auto" w:line="360"/>
        <w:ind w:firstLine="482"/>
        <w:jc w:val="both"/>
      </w:pPr>
      <w:r>
        <w:rPr>
          <w:rFonts w:ascii="Times New Roman" w:hAnsi="Times New Roman" w:eastAsia="宋体"/>
          <w:b w:val="0"/>
          <w:sz w:val="24"/>
        </w:rPr>
        <w:t>由教育部、共青团中央、教育厅等行政部门主办的比赛列为A类赛事，其余为B类赛事（校内竞赛不区分类别，限2项）。若竞赛项目未安排省赛，则国家级比赛项目按照省级比赛项目予以认定。每项赛事只取最终比赛设置奖项的前三项，如特等、一等、二等，金奖、银奖、铜奖等。竞赛团队成员按负责人以及成员位次认定分数逐级递减。</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等级</w:t>
            </w:r>
          </w:p>
        </w:tc>
        <w:tc>
          <w:tcPr>
            <w:tcW w:type="dxa" w:w="2878"/>
          </w:tcPr>
          <w:p>
            <w:pPr>
              <w:spacing w:after="20" w:before="20"/>
            </w:pPr>
            <w:r/>
            <w:r>
              <w:rPr>
                <w:rFonts w:ascii="Times New Roman" w:hAnsi="Times New Roman" w:eastAsia="宋体"/>
                <w:b/>
                <w:sz w:val="21"/>
              </w:rPr>
              <w:t>中国国际大学生创新大赛、挑战杯大赛A类</w:t>
            </w:r>
          </w:p>
        </w:tc>
        <w:tc>
          <w:tcPr>
            <w:tcW w:type="dxa" w:w="2878"/>
          </w:tcPr>
          <w:p>
            <w:pPr>
              <w:spacing w:after="20" w:before="20"/>
            </w:pPr>
            <w:r/>
            <w:r>
              <w:rPr>
                <w:rFonts w:ascii="Times New Roman" w:hAnsi="Times New Roman" w:eastAsia="宋体"/>
                <w:b/>
                <w:sz w:val="21"/>
              </w:rPr>
              <w:t>B类</w:t>
            </w:r>
          </w:p>
        </w:tc>
      </w:tr>
      <w:tr>
        <w:tc>
          <w:tcPr>
            <w:tcW w:type="dxa" w:w="2878"/>
          </w:tcPr>
          <w:p>
            <w:pPr>
              <w:spacing w:after="20" w:before="20"/>
            </w:pPr>
            <w:r/>
            <w:r>
              <w:rPr>
                <w:rFonts w:ascii="Times New Roman" w:hAnsi="Times New Roman" w:eastAsia="宋体"/>
                <w:b w:val="0"/>
                <w:sz w:val="21"/>
              </w:rPr>
              <w:t>国家（国际）级一等奖</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国家（国际）级二等奖</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国家（国际）级三等奖</w:t>
            </w:r>
          </w:p>
        </w:tc>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省级一等奖</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省级二等奖</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0.8</w:t>
            </w:r>
          </w:p>
        </w:tc>
      </w:tr>
      <w:tr>
        <w:tc>
          <w:tcPr>
            <w:tcW w:type="dxa" w:w="2878"/>
          </w:tcPr>
          <w:p>
            <w:pPr>
              <w:spacing w:after="20" w:before="20"/>
            </w:pPr>
            <w:r/>
            <w:r>
              <w:rPr>
                <w:rFonts w:ascii="Times New Roman" w:hAnsi="Times New Roman" w:eastAsia="宋体"/>
                <w:b w:val="0"/>
                <w:sz w:val="21"/>
              </w:rPr>
              <w:t>省级三等奖</w:t>
            </w:r>
          </w:p>
        </w:tc>
        <w:tc>
          <w:tcPr>
            <w:tcW w:type="dxa" w:w="2878"/>
          </w:tcPr>
          <w:p>
            <w:pPr>
              <w:spacing w:after="20" w:before="20"/>
            </w:pPr>
            <w:r/>
            <w:r>
              <w:rPr>
                <w:rFonts w:ascii="Times New Roman" w:hAnsi="Times New Roman" w:eastAsia="宋体"/>
                <w:b w:val="0"/>
                <w:sz w:val="21"/>
              </w:rPr>
              <w:t>0.8</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校级一等奖</w:t>
            </w:r>
          </w:p>
        </w:tc>
        <w:tc>
          <w:tcPr>
            <w:tcW w:type="dxa" w:w="2878"/>
          </w:tcPr>
          <w:p>
            <w:pPr>
              <w:spacing w:after="20" w:before="20"/>
            </w:pPr>
            <w:r/>
            <w:r>
              <w:rPr>
                <w:rFonts w:ascii="Times New Roman" w:hAnsi="Times New Roman" w:eastAsia="宋体"/>
                <w:b w:val="0"/>
                <w:sz w:val="21"/>
              </w:rPr>
              <w:t>0.6</w:t>
            </w:r>
          </w:p>
        </w:tc>
        <w:tc>
          <w:tcPr>
            <w:tcW w:type="dxa" w:w="2878"/>
          </w:tcPr>
          <w:p>
            <w:pPr>
              <w:spacing w:after="20" w:before="20"/>
            </w:pPr>
            <w:r/>
            <w:r>
              <w:rPr>
                <w:rFonts w:ascii="Times New Roman" w:hAnsi="Times New Roman" w:eastAsia="宋体"/>
                <w:b w:val="0"/>
                <w:sz w:val="21"/>
              </w:rPr>
              <w:t>0.3</w:t>
            </w:r>
          </w:p>
        </w:tc>
      </w:tr>
      <w:tr>
        <w:tc>
          <w:tcPr>
            <w:tcW w:type="dxa" w:w="2878"/>
          </w:tcPr>
          <w:p>
            <w:pPr>
              <w:spacing w:after="20" w:before="20"/>
            </w:pPr>
            <w:r/>
            <w:r>
              <w:rPr>
                <w:rFonts w:ascii="Times New Roman" w:hAnsi="Times New Roman" w:eastAsia="宋体"/>
                <w:b w:val="0"/>
                <w:sz w:val="21"/>
              </w:rPr>
              <w:t>校级二等奖</w:t>
            </w:r>
          </w:p>
        </w:tc>
        <w:tc>
          <w:tcPr>
            <w:tcW w:type="dxa" w:w="2878"/>
          </w:tcPr>
          <w:p>
            <w:pPr>
              <w:spacing w:after="20" w:before="20"/>
            </w:pPr>
            <w:r/>
            <w:r>
              <w:rPr>
                <w:rFonts w:ascii="Times New Roman" w:hAnsi="Times New Roman" w:eastAsia="宋体"/>
                <w:b w:val="0"/>
                <w:sz w:val="21"/>
              </w:rPr>
              <w:t>0.4</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校级三等奖</w:t>
            </w:r>
          </w:p>
        </w:tc>
        <w:tc>
          <w:tcPr>
            <w:tcW w:type="dxa" w:w="2878"/>
          </w:tcPr>
          <w:p>
            <w:pPr>
              <w:spacing w:after="20" w:before="20"/>
            </w:pPr>
            <w:r/>
            <w:r>
              <w:rPr>
                <w:rFonts w:ascii="Times New Roman" w:hAnsi="Times New Roman" w:eastAsia="宋体"/>
                <w:b w:val="0"/>
                <w:sz w:val="21"/>
              </w:rPr>
              <w:t>0.2</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3. 主持或参与大学生创新创业训练计划项目，国家级、省级、校级项目限前三名参加者（含负责人），国家级负责人和成员分别认定1分、0.6分，省级负责人和成员分别认定0.8分、0.5分，校级负责人和成员分别认定0.3分、0.1分；被评为国家级优秀项目或在大创年会上展示的项目，负责人和成员分别认定1分、0.6分（展示项目和大创项目属于两类项目，可同时申请认定）。</w:t>
      </w:r>
    </w:p>
    <w:p>
      <w:pPr>
        <w:spacing w:after="80" w:lineRule="auto" w:line="360"/>
        <w:ind w:firstLine="482"/>
        <w:jc w:val="both"/>
      </w:pPr>
      <w:r>
        <w:rPr>
          <w:rFonts w:ascii="Times New Roman" w:hAnsi="Times New Roman" w:eastAsia="宋体"/>
          <w:b w:val="0"/>
          <w:sz w:val="24"/>
        </w:rPr>
        <w:t>4. 学生获全国大学生运动会、省级大学生运动会前6名、延安大学田径运动会前3名等，加分标准如下：</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等级</w:t>
            </w:r>
          </w:p>
        </w:tc>
        <w:tc>
          <w:tcPr>
            <w:tcW w:type="dxa" w:w="1233"/>
          </w:tcPr>
          <w:p>
            <w:pPr>
              <w:spacing w:after="20" w:before="20"/>
            </w:pPr>
            <w:r/>
            <w:r>
              <w:rPr>
                <w:rFonts w:ascii="Times New Roman" w:hAnsi="Times New Roman" w:eastAsia="宋体"/>
                <w:b/>
                <w:sz w:val="21"/>
              </w:rPr>
              <w:t>第一名</w:t>
            </w:r>
          </w:p>
        </w:tc>
        <w:tc>
          <w:tcPr>
            <w:tcW w:type="dxa" w:w="1233"/>
          </w:tcPr>
          <w:p>
            <w:pPr>
              <w:spacing w:after="20" w:before="20"/>
            </w:pPr>
            <w:r/>
            <w:r>
              <w:rPr>
                <w:rFonts w:ascii="Times New Roman" w:hAnsi="Times New Roman" w:eastAsia="宋体"/>
                <w:b/>
                <w:sz w:val="21"/>
              </w:rPr>
              <w:t>第二名</w:t>
            </w:r>
          </w:p>
        </w:tc>
        <w:tc>
          <w:tcPr>
            <w:tcW w:type="dxa" w:w="1233"/>
          </w:tcPr>
          <w:p>
            <w:pPr>
              <w:spacing w:after="20" w:before="20"/>
            </w:pPr>
            <w:r/>
            <w:r>
              <w:rPr>
                <w:rFonts w:ascii="Times New Roman" w:hAnsi="Times New Roman" w:eastAsia="宋体"/>
                <w:b/>
                <w:sz w:val="21"/>
              </w:rPr>
              <w:t>第三名</w:t>
            </w:r>
          </w:p>
        </w:tc>
        <w:tc>
          <w:tcPr>
            <w:tcW w:type="dxa" w:w="1233"/>
          </w:tcPr>
          <w:p>
            <w:pPr>
              <w:spacing w:after="20" w:before="20"/>
            </w:pPr>
            <w:r/>
            <w:r>
              <w:rPr>
                <w:rFonts w:ascii="Times New Roman" w:hAnsi="Times New Roman" w:eastAsia="宋体"/>
                <w:b/>
                <w:sz w:val="21"/>
              </w:rPr>
              <w:t>第四名</w:t>
            </w:r>
          </w:p>
        </w:tc>
        <w:tc>
          <w:tcPr>
            <w:tcW w:type="dxa" w:w="1233"/>
          </w:tcPr>
          <w:p>
            <w:pPr>
              <w:spacing w:after="20" w:before="20"/>
            </w:pPr>
            <w:r/>
            <w:r>
              <w:rPr>
                <w:rFonts w:ascii="Times New Roman" w:hAnsi="Times New Roman" w:eastAsia="宋体"/>
                <w:b/>
                <w:sz w:val="21"/>
              </w:rPr>
              <w:t>第五名</w:t>
            </w:r>
          </w:p>
        </w:tc>
        <w:tc>
          <w:tcPr>
            <w:tcW w:type="dxa" w:w="1233"/>
          </w:tcPr>
          <w:p>
            <w:pPr>
              <w:spacing w:after="20" w:before="20"/>
            </w:pPr>
            <w:r/>
            <w:r>
              <w:rPr>
                <w:rFonts w:ascii="Times New Roman" w:hAnsi="Times New Roman" w:eastAsia="宋体"/>
                <w:b/>
                <w:sz w:val="21"/>
              </w:rPr>
              <w:t>第六名</w:t>
            </w:r>
          </w:p>
        </w:tc>
      </w:tr>
      <w:tr>
        <w:tc>
          <w:tcPr>
            <w:tcW w:type="dxa" w:w="1233"/>
          </w:tcPr>
          <w:p>
            <w:pPr>
              <w:spacing w:after="20" w:before="20"/>
            </w:pPr>
            <w:r/>
            <w:r>
              <w:rPr>
                <w:rFonts w:ascii="Times New Roman" w:hAnsi="Times New Roman" w:eastAsia="宋体"/>
                <w:b w:val="0"/>
                <w:sz w:val="21"/>
              </w:rPr>
              <w:t>全运会</w:t>
            </w:r>
          </w:p>
        </w:tc>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0.5</w:t>
            </w:r>
          </w:p>
        </w:tc>
        <w:tc>
          <w:tcPr>
            <w:tcW w:type="dxa" w:w="1233"/>
          </w:tcPr>
          <w:p>
            <w:pPr>
              <w:spacing w:after="20" w:before="20"/>
            </w:pPr>
            <w:r/>
            <w:r>
              <w:rPr>
                <w:rFonts w:ascii="Times New Roman" w:hAnsi="Times New Roman" w:eastAsia="宋体"/>
                <w:b w:val="0"/>
                <w:sz w:val="21"/>
              </w:rPr>
              <w:t>0.3</w:t>
            </w:r>
          </w:p>
        </w:tc>
        <w:tc>
          <w:tcPr>
            <w:tcW w:type="dxa" w:w="1233"/>
          </w:tcPr>
          <w:p>
            <w:pPr>
              <w:spacing w:after="20" w:before="20"/>
            </w:pPr>
            <w:r/>
            <w:r>
              <w:rPr>
                <w:rFonts w:ascii="Times New Roman" w:hAnsi="Times New Roman" w:eastAsia="宋体"/>
                <w:b w:val="0"/>
                <w:sz w:val="21"/>
              </w:rPr>
              <w:t>0.2</w:t>
            </w:r>
          </w:p>
        </w:tc>
        <w:tc>
          <w:tcPr>
            <w:tcW w:type="dxa" w:w="1233"/>
          </w:tcPr>
          <w:p>
            <w:pPr>
              <w:spacing w:after="20" w:before="20"/>
            </w:pPr>
            <w:r/>
            <w:r>
              <w:rPr>
                <w:rFonts w:ascii="Times New Roman" w:hAnsi="Times New Roman" w:eastAsia="宋体"/>
                <w:b w:val="0"/>
                <w:sz w:val="21"/>
              </w:rPr>
              <w:t>0.1</w:t>
            </w:r>
          </w:p>
        </w:tc>
      </w:tr>
      <w:tr>
        <w:tc>
          <w:tcPr>
            <w:tcW w:type="dxa" w:w="1233"/>
          </w:tcPr>
          <w:p>
            <w:pPr>
              <w:spacing w:after="20" w:before="20"/>
            </w:pPr>
            <w:r/>
            <w:r>
              <w:rPr>
                <w:rFonts w:ascii="Times New Roman" w:hAnsi="Times New Roman" w:eastAsia="宋体"/>
                <w:b w:val="0"/>
                <w:sz w:val="21"/>
              </w:rPr>
              <w:t>省运会</w:t>
            </w:r>
          </w:p>
        </w:tc>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0.5</w:t>
            </w:r>
          </w:p>
        </w:tc>
        <w:tc>
          <w:tcPr>
            <w:tcW w:type="dxa" w:w="1233"/>
          </w:tcPr>
          <w:p>
            <w:pPr>
              <w:spacing w:after="20" w:before="20"/>
            </w:pPr>
            <w:r/>
            <w:r>
              <w:rPr>
                <w:rFonts w:ascii="Times New Roman" w:hAnsi="Times New Roman" w:eastAsia="宋体"/>
                <w:b w:val="0"/>
                <w:sz w:val="21"/>
              </w:rPr>
              <w:t>0.3</w:t>
            </w:r>
          </w:p>
        </w:tc>
        <w:tc>
          <w:tcPr>
            <w:tcW w:type="dxa" w:w="1233"/>
          </w:tcPr>
          <w:p>
            <w:pPr>
              <w:spacing w:after="20" w:before="20"/>
            </w:pPr>
            <w:r/>
            <w:r>
              <w:rPr>
                <w:rFonts w:ascii="Times New Roman" w:hAnsi="Times New Roman" w:eastAsia="宋体"/>
                <w:b w:val="0"/>
                <w:sz w:val="21"/>
              </w:rPr>
              <w:t>0.2</w:t>
            </w:r>
          </w:p>
        </w:tc>
        <w:tc>
          <w:tcPr>
            <w:tcW w:type="dxa" w:w="1233"/>
          </w:tcPr>
          <w:p>
            <w:pPr>
              <w:spacing w:after="20" w:before="20"/>
            </w:pPr>
            <w:r/>
            <w:r>
              <w:rPr>
                <w:rFonts w:ascii="Times New Roman" w:hAnsi="Times New Roman" w:eastAsia="宋体"/>
                <w:b w:val="0"/>
                <w:sz w:val="21"/>
              </w:rPr>
              <w:t>0.1</w:t>
            </w:r>
          </w:p>
        </w:tc>
        <w:tc>
          <w:tcPr>
            <w:tcW w:type="dxa" w:w="1233"/>
          </w:tcPr>
          <w:p>
            <w:pPr>
              <w:spacing w:after="20" w:before="20"/>
            </w:pPr>
            <w:r/>
            <w:r>
              <w:rPr>
                <w:rFonts w:ascii="Times New Roman" w:hAnsi="Times New Roman" w:eastAsia="宋体"/>
                <w:b w:val="0"/>
                <w:sz w:val="21"/>
              </w:rPr>
              <w:t>0.05</w:t>
            </w:r>
          </w:p>
        </w:tc>
      </w:tr>
      <w:tr>
        <w:tc>
          <w:tcPr>
            <w:tcW w:type="dxa" w:w="1233"/>
          </w:tcPr>
          <w:p>
            <w:pPr>
              <w:spacing w:after="20" w:before="20"/>
            </w:pPr>
            <w:r/>
            <w:r>
              <w:rPr>
                <w:rFonts w:ascii="Times New Roman" w:hAnsi="Times New Roman" w:eastAsia="宋体"/>
                <w:b w:val="0"/>
                <w:sz w:val="21"/>
              </w:rPr>
              <w:t>校运会</w:t>
            </w:r>
          </w:p>
        </w:tc>
        <w:tc>
          <w:tcPr>
            <w:tcW w:type="dxa" w:w="1233"/>
          </w:tcPr>
          <w:p>
            <w:pPr>
              <w:spacing w:after="20" w:before="20"/>
            </w:pPr>
            <w:r/>
            <w:r>
              <w:rPr>
                <w:rFonts w:ascii="Times New Roman" w:hAnsi="Times New Roman" w:eastAsia="宋体"/>
                <w:b w:val="0"/>
                <w:sz w:val="21"/>
              </w:rPr>
              <w:t>0.5</w:t>
            </w:r>
          </w:p>
        </w:tc>
        <w:tc>
          <w:tcPr>
            <w:tcW w:type="dxa" w:w="1233"/>
          </w:tcPr>
          <w:p>
            <w:pPr>
              <w:spacing w:after="20" w:before="20"/>
            </w:pPr>
            <w:r/>
            <w:r>
              <w:rPr>
                <w:rFonts w:ascii="Times New Roman" w:hAnsi="Times New Roman" w:eastAsia="宋体"/>
                <w:b w:val="0"/>
                <w:sz w:val="21"/>
              </w:rPr>
              <w:t>0.3</w:t>
            </w:r>
          </w:p>
        </w:tc>
        <w:tc>
          <w:tcPr>
            <w:tcW w:type="dxa" w:w="1233"/>
          </w:tcPr>
          <w:p>
            <w:pPr>
              <w:spacing w:after="20" w:before="20"/>
            </w:pPr>
            <w:r/>
            <w:r>
              <w:rPr>
                <w:rFonts w:ascii="Times New Roman" w:hAnsi="Times New Roman" w:eastAsia="宋体"/>
                <w:b w:val="0"/>
                <w:sz w:val="21"/>
              </w:rPr>
              <w:t>0.1</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同一赛事取得多个名次以最高名次计算，一年中多次赛事以最高一次计算；团队比赛获奖成员按个人获奖认定分数*0.6。</w:t>
      </w:r>
    </w:p>
    <w:p>
      <w:pPr>
        <w:spacing w:after="80" w:lineRule="auto" w:line="360"/>
        <w:ind w:firstLine="482"/>
        <w:jc w:val="both"/>
      </w:pPr>
      <w:r>
        <w:rPr>
          <w:rFonts w:ascii="Times New Roman" w:hAnsi="Times New Roman" w:eastAsia="宋体"/>
          <w:b w:val="0"/>
          <w:sz w:val="24"/>
        </w:rPr>
        <w:t>5. 学生作为发明人获得发明专利授权，按照排名（前三）分别认定2分、1.5分、1分；学生作为发明人获得软件著作权，按照排名（前三）分别认定1分、0.6分、0.4分；学生作为发明人获得实用新型专利授权，按照排名（前三）分别认定1分、0.6分、0.4分，以上成果延安大学必须是第一授权单位。</w:t>
      </w:r>
    </w:p>
    <w:p>
      <w:pPr>
        <w:spacing w:after="80" w:lineRule="auto" w:line="360"/>
        <w:ind w:firstLine="482"/>
        <w:jc w:val="both"/>
      </w:pPr>
      <w:r>
        <w:rPr>
          <w:rFonts w:ascii="Times New Roman" w:hAnsi="Times New Roman" w:eastAsia="宋体"/>
          <w:b w:val="0"/>
          <w:sz w:val="24"/>
        </w:rPr>
        <w:t>6. 学生在出版社公开出版专著、文学作品（集），按照排名（前三）分别认定2分、1.5分、1分；以第一作者在文学类的核心期刊（北大核心期刊）、普通期刊、文学内刊（含院报《我们》）等文学期刊上发表文学、摄影等原创作品分别认定0.8分、0.2分、0.1分（普通期刊及文学内刊每种最多限2篇）。以上成果延安大学必须是第一署名单位。</w:t>
      </w:r>
    </w:p>
    <w:p>
      <w:pPr>
        <w:spacing w:after="80" w:lineRule="auto" w:line="360"/>
        <w:ind w:firstLine="482"/>
        <w:jc w:val="both"/>
      </w:pPr>
      <w:r>
        <w:rPr>
          <w:rFonts w:ascii="Times New Roman" w:hAnsi="Times New Roman" w:eastAsia="宋体"/>
          <w:b w:val="0"/>
          <w:sz w:val="24"/>
        </w:rPr>
        <w:t>7. 经学校批准入伍并审定，在服役期间荣立二等功及以上功绩认定1分。</w:t>
      </w:r>
    </w:p>
    <w:p>
      <w:pPr>
        <w:spacing w:after="80" w:lineRule="auto" w:line="360"/>
        <w:ind w:firstLine="482"/>
        <w:jc w:val="both"/>
      </w:pPr>
      <w:r>
        <w:rPr>
          <w:rFonts w:ascii="Times New Roman" w:hAnsi="Times New Roman" w:eastAsia="宋体"/>
          <w:b w:val="0"/>
          <w:sz w:val="24"/>
        </w:rPr>
        <w:t>8. 积极参与各类志愿服务，经学校审定和推荐，获得优秀西部计划志愿者、优秀青年志愿者等省级及以上志愿者荣誉，国家级、省级分别认定2分、1分。</w:t>
      </w:r>
    </w:p>
    <w:p>
      <w:pPr>
        <w:spacing w:after="80" w:lineRule="auto" w:line="360"/>
        <w:ind w:firstLine="482"/>
        <w:jc w:val="both"/>
      </w:pPr>
      <w:r>
        <w:rPr>
          <w:rFonts w:ascii="Times New Roman" w:hAnsi="Times New Roman" w:eastAsia="宋体"/>
          <w:b w:val="0"/>
          <w:sz w:val="24"/>
        </w:rPr>
        <w:t>9. 学生获得宝钢教育奖、国家奖学金、国家励志奖学金分别认定2分、2分、0.3分；获得个人类的省级荣誉称号及奖励、校级荣誉称号及奖励分别认定1分、0.3分。学院及各部门荣誉和奖励认定0.1分（最多限2项）。</w:t>
      </w:r>
    </w:p>
    <w:p>
      <w:pPr>
        <w:spacing w:after="80" w:lineRule="auto" w:line="360"/>
        <w:ind w:firstLine="482"/>
        <w:jc w:val="both"/>
      </w:pPr>
      <w:r>
        <w:rPr>
          <w:rFonts w:ascii="Times New Roman" w:hAnsi="Times New Roman" w:eastAsia="宋体"/>
          <w:b w:val="0"/>
          <w:sz w:val="24"/>
        </w:rPr>
        <w:t>10. 学生参与的由学校行政部门组织的校级项目，学生前三名参加者，负责人和成员分别认定0.3分、0.1分。</w:t>
      </w:r>
    </w:p>
    <w:p>
      <w:pPr>
        <w:spacing w:after="80" w:lineRule="auto" w:line="360"/>
        <w:ind w:firstLine="482"/>
        <w:jc w:val="both"/>
      </w:pPr>
      <w:r>
        <w:rPr>
          <w:rFonts w:ascii="Times New Roman" w:hAnsi="Times New Roman" w:eastAsia="宋体"/>
          <w:b w:val="0"/>
          <w:sz w:val="24"/>
        </w:rPr>
        <w:t>11. 以上奖励条款中，同一赛事一年中取得多个名次以最高名次计算1次；同一类型的项目在校期间最多认定2次。</w:t>
      </w:r>
    </w:p>
    <w:p>
      <w:pPr>
        <w:spacing w:after="80" w:lineRule="auto" w:line="360"/>
        <w:ind w:firstLine="482"/>
        <w:jc w:val="both"/>
      </w:pPr>
      <w:r>
        <w:rPr>
          <w:rFonts w:ascii="Times New Roman" w:hAnsi="Times New Roman" w:eastAsia="宋体"/>
          <w:b w:val="0"/>
          <w:sz w:val="24"/>
        </w:rPr>
        <w:t>12. 个人综合素质评定成绩=各项加分累计值/最高加分累计值×10。</w:t>
      </w:r>
    </w:p>
    <w:p>
      <w:pPr>
        <w:spacing w:after="80" w:lineRule="auto" w:line="360"/>
        <w:ind w:firstLine="482"/>
        <w:jc w:val="both"/>
      </w:pPr>
      <w:r>
        <w:rPr>
          <w:rFonts w:ascii="Times New Roman" w:hAnsi="Times New Roman" w:eastAsia="宋体"/>
          <w:b w:val="0"/>
          <w:sz w:val="24"/>
        </w:rPr>
        <w:t>第三条 附则</w:t>
      </w:r>
    </w:p>
    <w:p>
      <w:pPr>
        <w:spacing w:after="80" w:lineRule="auto" w:line="360"/>
        <w:ind w:firstLine="482"/>
        <w:jc w:val="both"/>
      </w:pPr>
      <w:r>
        <w:rPr>
          <w:rFonts w:ascii="Times New Roman" w:hAnsi="Times New Roman" w:eastAsia="宋体"/>
          <w:b w:val="0"/>
          <w:sz w:val="24"/>
        </w:rPr>
        <w:t>1. 学术文章、获奖证书、创新项目及荣誉证书均应提交原件（或扫描件），否则不予认定。</w:t>
      </w:r>
    </w:p>
    <w:p>
      <w:pPr>
        <w:spacing w:after="80" w:lineRule="auto" w:line="360"/>
        <w:ind w:firstLine="482"/>
        <w:jc w:val="both"/>
      </w:pPr>
      <w:r>
        <w:rPr>
          <w:rFonts w:ascii="Times New Roman" w:hAnsi="Times New Roman" w:eastAsia="宋体"/>
          <w:b w:val="0"/>
          <w:sz w:val="24"/>
        </w:rPr>
        <w:t>2. 获奖等级的认定以加盖公章的文件材料为准。</w:t>
      </w:r>
    </w:p>
    <w:p>
      <w:pPr>
        <w:spacing w:after="80" w:lineRule="auto" w:line="360"/>
        <w:ind w:firstLine="482"/>
        <w:jc w:val="both"/>
      </w:pPr>
      <w:r>
        <w:rPr>
          <w:rFonts w:ascii="Times New Roman" w:hAnsi="Times New Roman" w:eastAsia="宋体"/>
          <w:b w:val="0"/>
          <w:sz w:val="24"/>
        </w:rPr>
        <w:t>3. 本细则由文学与新闻传播学院负责解释。未尽事宜，由学院及相关部门商议决定。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