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数学与计算机科学学院  2026年推免生工作实施细则-云南民族大学数学与计算机科学学院</w:t>
      </w:r>
    </w:p>
    <w:p>
      <w:pPr>
        <w:spacing w:line="360" w:lineRule="auto" w:before="0" w:after="80"/>
        <w:ind w:firstLine="482"/>
        <w:jc w:val="both"/>
      </w:pPr>
      <w:r>
        <w:rPr>
          <w:rFonts w:ascii="Times New Roman" w:hAnsi="Times New Roman" w:eastAsia="宋体"/>
          <w:b w:val="0"/>
          <w:sz w:val="24"/>
        </w:rPr>
        <w:t>根据《云南民族大学2026年推荐优秀应届本科生免试攻读硕士学位研究生工作方案》通知要求及《云南民族大学推荐应届本科毕业生免试攻读硕士学位研究生工作管理办法》相关规定，学院制定了《数学与计算机科学学院2026年推免生工作实施细则》，经学院党政联席会议审定，并报教务处审核，现对进行《数学与计算机科学学院2026年推免生工作实施细则》进行公示（见附件）。</w:t>
      </w:r>
    </w:p>
    <w:p>
      <w:pPr>
        <w:spacing w:line="360" w:lineRule="auto" w:before="0" w:after="80"/>
        <w:ind w:firstLine="482"/>
        <w:jc w:val="both"/>
      </w:pPr>
      <w:r>
        <w:rPr>
          <w:rFonts w:ascii="Times New Roman" w:hAnsi="Times New Roman" w:eastAsia="宋体"/>
          <w:b w:val="0"/>
          <w:sz w:val="24"/>
        </w:rPr>
        <w:t>公示时间：2025年8月18日-2025年8月22日</w:t>
      </w:r>
    </w:p>
    <w:p>
      <w:pPr>
        <w:spacing w:line="360" w:lineRule="auto" w:before="0" w:after="80"/>
        <w:ind w:firstLine="482"/>
        <w:jc w:val="both"/>
      </w:pPr>
      <w:r>
        <w:rPr>
          <w:rFonts w:ascii="Times New Roman" w:hAnsi="Times New Roman" w:eastAsia="宋体"/>
          <w:b w:val="0"/>
          <w:sz w:val="24"/>
        </w:rPr>
        <w:t>若对公示内容有异议，请公示期内向数学与计算机科学学院纪委反映。</w:t>
      </w:r>
    </w:p>
    <w:p>
      <w:pPr>
        <w:spacing w:line="360" w:lineRule="auto" w:before="120" w:after="60"/>
        <w:ind w:firstLine="0"/>
        <w:jc w:val="left"/>
      </w:pPr>
      <w:r>
        <w:rPr>
          <w:rFonts w:ascii="Times New Roman" w:hAnsi="Times New Roman" w:eastAsia="宋体"/>
          <w:b/>
          <w:sz w:val="24"/>
        </w:rPr>
        <w:t>办公室：广智D-415</w:t>
      </w:r>
    </w:p>
    <w:p>
      <w:pPr>
        <w:spacing w:line="360" w:lineRule="auto" w:before="0" w:after="80"/>
        <w:ind w:firstLine="482"/>
        <w:jc w:val="both"/>
      </w:pPr>
      <w:r>
        <w:rPr>
          <w:rFonts w:ascii="Times New Roman" w:hAnsi="Times New Roman" w:eastAsia="宋体"/>
          <w:b w:val="0"/>
          <w:sz w:val="24"/>
        </w:rPr>
        <w:t>联系电话：13669791319。</w:t>
      </w:r>
    </w:p>
    <w:p>
      <w:pPr>
        <w:spacing w:line="360" w:lineRule="auto" w:before="120" w:after="60"/>
        <w:ind w:firstLine="0"/>
        <w:jc w:val="left"/>
      </w:pPr>
      <w:r>
        <w:rPr>
          <w:rFonts w:ascii="Times New Roman" w:hAnsi="Times New Roman" w:eastAsia="宋体"/>
          <w:b/>
          <w:sz w:val="24"/>
        </w:rPr>
        <w:t>数学与计算机科学学院</w:t>
      </w:r>
    </w:p>
    <w:p>
      <w:pPr>
        <w:spacing w:line="360" w:lineRule="auto" w:before="120" w:after="60"/>
        <w:ind w:firstLine="0"/>
        <w:jc w:val="left"/>
      </w:pPr>
      <w:r>
        <w:rPr>
          <w:rFonts w:ascii="Times New Roman" w:hAnsi="Times New Roman" w:eastAsia="宋体"/>
          <w:b/>
          <w:sz w:val="24"/>
        </w:rPr>
        <w:t>2025年8月17日</w:t>
      </w:r>
    </w:p>
    <w:p>
      <w:pPr>
        <w:spacing w:line="360" w:lineRule="auto" w:before="120" w:after="60"/>
        <w:ind w:firstLine="0"/>
        <w:jc w:val="left"/>
      </w:pPr>
      <w:r>
        <w:rPr>
          <w:rFonts w:ascii="Times New Roman" w:hAnsi="Times New Roman" w:eastAsia="宋体"/>
          <w:b/>
          <w:sz w:val="24"/>
        </w:rPr>
        <w:t>数学与计算机科学学院2026年推免生工作实施细则</w:t>
      </w:r>
    </w:p>
    <w:p>
      <w:pPr>
        <w:spacing w:line="360" w:lineRule="auto" w:before="160" w:after="80"/>
        <w:ind w:firstLine="0"/>
        <w:jc w:val="left"/>
      </w:pPr>
      <w:r>
        <w:rPr>
          <w:rFonts w:ascii="Times New Roman" w:hAnsi="Times New Roman" w:eastAsia="宋体"/>
          <w:b/>
          <w:sz w:val="28"/>
        </w:rPr>
        <w:t>一、组织领导</w:t>
      </w:r>
    </w:p>
    <w:p>
      <w:pPr>
        <w:spacing w:line="360" w:lineRule="auto" w:before="160" w:after="80"/>
        <w:ind w:firstLine="0"/>
        <w:jc w:val="left"/>
      </w:pPr>
      <w:r>
        <w:rPr>
          <w:rFonts w:ascii="Times New Roman" w:hAnsi="Times New Roman" w:eastAsia="宋体"/>
          <w:b/>
          <w:sz w:val="28"/>
        </w:rPr>
        <w:t>（一）学院成立推荐免试研究生（以下简称推免生）遴选工作领导小组，负责领导和组织学院推荐免试攻读研究生工作（以下简称推免工作）。</w:t>
      </w:r>
    </w:p>
    <w:p>
      <w:pPr>
        <w:spacing w:line="360" w:lineRule="auto" w:before="120" w:after="60"/>
        <w:ind w:firstLine="0"/>
        <w:jc w:val="left"/>
      </w:pPr>
      <w:r>
        <w:rPr>
          <w:rFonts w:ascii="Times New Roman" w:hAnsi="Times New Roman" w:eastAsia="宋体"/>
          <w:b/>
          <w:sz w:val="24"/>
        </w:rPr>
        <w:t>组长： 谭学文</w:t>
      </w:r>
    </w:p>
    <w:p>
      <w:pPr>
        <w:spacing w:line="360" w:lineRule="auto" w:before="120" w:after="60"/>
        <w:ind w:firstLine="0"/>
        <w:jc w:val="left"/>
      </w:pPr>
      <w:r>
        <w:rPr>
          <w:rFonts w:ascii="Times New Roman" w:hAnsi="Times New Roman" w:eastAsia="宋体"/>
          <w:b/>
          <w:sz w:val="24"/>
        </w:rPr>
        <w:t>副组长：蒋作</w:t>
      </w:r>
    </w:p>
    <w:p>
      <w:pPr>
        <w:spacing w:line="360" w:lineRule="auto" w:before="0" w:after="80"/>
        <w:ind w:firstLine="482"/>
        <w:jc w:val="both"/>
      </w:pPr>
      <w:r>
        <w:rPr>
          <w:rFonts w:ascii="Times New Roman" w:hAnsi="Times New Roman" w:eastAsia="宋体"/>
          <w:b w:val="0"/>
          <w:sz w:val="24"/>
        </w:rPr>
        <w:t>成员： 赵艳芳 周卫红 马学玉 喻扬涛 江绍萍 唐轶 陈君华 赵波</w:t>
      </w:r>
    </w:p>
    <w:p>
      <w:pPr>
        <w:spacing w:line="360" w:lineRule="auto" w:before="160" w:after="80"/>
        <w:ind w:firstLine="0"/>
        <w:jc w:val="left"/>
      </w:pPr>
      <w:r>
        <w:rPr>
          <w:rFonts w:ascii="Times New Roman" w:hAnsi="Times New Roman" w:eastAsia="宋体"/>
          <w:b/>
          <w:sz w:val="28"/>
        </w:rPr>
        <w:t>（二）工作领导小组下设审核小组，负责推免生思想政治素质和道德品质审核及专业素质考核。</w:t>
      </w:r>
    </w:p>
    <w:p>
      <w:pPr>
        <w:spacing w:line="360" w:lineRule="auto" w:before="120" w:after="60"/>
        <w:ind w:firstLine="0"/>
        <w:jc w:val="left"/>
      </w:pPr>
      <w:r>
        <w:rPr>
          <w:rFonts w:ascii="Times New Roman" w:hAnsi="Times New Roman" w:eastAsia="宋体"/>
          <w:b/>
          <w:sz w:val="24"/>
        </w:rPr>
        <w:t>组长： 蒋作</w:t>
      </w:r>
    </w:p>
    <w:p>
      <w:pPr>
        <w:spacing w:line="360" w:lineRule="auto" w:before="120" w:after="60"/>
        <w:ind w:firstLine="0"/>
        <w:jc w:val="left"/>
      </w:pPr>
      <w:r>
        <w:rPr>
          <w:rFonts w:ascii="Times New Roman" w:hAnsi="Times New Roman" w:eastAsia="宋体"/>
          <w:b/>
          <w:sz w:val="24"/>
        </w:rPr>
        <w:t>成员： 陈君华 唐轶 赵波 刘士虎</w:t>
      </w:r>
    </w:p>
    <w:p>
      <w:pPr>
        <w:spacing w:line="360" w:lineRule="auto" w:before="160" w:after="80"/>
        <w:ind w:firstLine="0"/>
        <w:jc w:val="left"/>
      </w:pPr>
      <w:r>
        <w:rPr>
          <w:rFonts w:ascii="Times New Roman" w:hAnsi="Times New Roman" w:eastAsia="宋体"/>
          <w:b/>
          <w:sz w:val="28"/>
        </w:rPr>
        <w:t>（三）学院纪委对推免生工作实施全程监督。</w:t>
      </w:r>
    </w:p>
    <w:p>
      <w:pPr>
        <w:spacing w:line="360" w:lineRule="auto" w:before="120" w:after="60"/>
        <w:ind w:firstLine="0"/>
        <w:jc w:val="left"/>
      </w:pPr>
      <w:r>
        <w:rPr>
          <w:rFonts w:ascii="Times New Roman" w:hAnsi="Times New Roman" w:eastAsia="宋体"/>
          <w:b/>
          <w:sz w:val="24"/>
        </w:rPr>
        <w:t>组长：黄立冬</w:t>
      </w:r>
    </w:p>
    <w:p>
      <w:pPr>
        <w:spacing w:line="360" w:lineRule="auto" w:before="120" w:after="60"/>
        <w:ind w:firstLine="0"/>
        <w:jc w:val="left"/>
      </w:pPr>
      <w:r>
        <w:rPr>
          <w:rFonts w:ascii="Times New Roman" w:hAnsi="Times New Roman" w:eastAsia="宋体"/>
          <w:b/>
          <w:sz w:val="24"/>
        </w:rPr>
        <w:t>成员：许婷婷 王文成</w:t>
      </w:r>
    </w:p>
    <w:p>
      <w:pPr>
        <w:spacing w:line="360" w:lineRule="auto" w:before="160" w:after="80"/>
        <w:ind w:firstLine="0"/>
        <w:jc w:val="left"/>
      </w:pPr>
      <w:r>
        <w:rPr>
          <w:rFonts w:ascii="Times New Roman" w:hAnsi="Times New Roman" w:eastAsia="宋体"/>
          <w:b/>
          <w:sz w:val="28"/>
        </w:rPr>
        <w:t>二、名额分配原则</w:t>
      </w:r>
    </w:p>
    <w:p>
      <w:pPr>
        <w:spacing w:line="360" w:lineRule="auto" w:before="0" w:after="80"/>
        <w:ind w:firstLine="482"/>
        <w:jc w:val="both"/>
      </w:pPr>
      <w:r>
        <w:rPr>
          <w:rFonts w:ascii="Times New Roman" w:hAnsi="Times New Roman" w:eastAsia="宋体"/>
          <w:b w:val="0"/>
          <w:sz w:val="24"/>
        </w:rPr>
        <w:t>秉持公平、公正、公开原则规范地做好学院2026年免试研究生推荐工作。数学与计算机科学学院2022级本科现有5个专业共7个班级，学校划拨推荐名额9人。按学校相关规定并综合学院各专业各班级情况，推荐原则为：</w:t>
      </w:r>
    </w:p>
    <w:p>
      <w:pPr>
        <w:spacing w:line="360" w:lineRule="auto" w:before="160" w:after="80"/>
        <w:ind w:firstLine="0"/>
        <w:jc w:val="left"/>
      </w:pPr>
      <w:r>
        <w:rPr>
          <w:rFonts w:ascii="Times New Roman" w:hAnsi="Times New Roman" w:eastAsia="宋体"/>
          <w:b/>
          <w:sz w:val="28"/>
        </w:rPr>
        <w:t>（一）参与申请的学生，按照学生所在专业以最终成绩实行排名。</w:t>
      </w:r>
    </w:p>
    <w:p>
      <w:pPr>
        <w:spacing w:line="360" w:lineRule="auto" w:before="0" w:after="80"/>
        <w:ind w:firstLine="482"/>
        <w:jc w:val="both"/>
      </w:pPr>
      <w:r>
        <w:rPr>
          <w:rFonts w:ascii="Times New Roman" w:hAnsi="Times New Roman" w:eastAsia="宋体"/>
          <w:b w:val="0"/>
          <w:sz w:val="24"/>
        </w:rPr>
        <w:t>（二）根据学校划拨推荐名额，结合各专业实际，分配推荐名额。第一轮推荐：按班级推荐，优先遴选各班级最终成绩排名第一的申请人进行排序推荐。自学院公示最终推荐排序名单之日起，若被推荐人主动放弃或被取消推免资格，则从该推荐人所在班级的其余申请人中，按原最终成绩顺位递补。第二轮推荐：根据学校名额分配原则，从一本专业中未获得第一轮推荐的其余申请人中，按最终成绩遴选各专业排名首位的同学进行排序推荐。自学院公示最终推荐排序名单之日起，若被推荐人主动放弃或被取消推免资格，则从该推荐人所在专业的其余申请人中，按原最终成绩顺位递补。第三轮排序：其余未推荐的申请学生，按最终成绩进行排序，若前两轮推荐后有剩余名额，则在剩下的申请学生中按最终成绩顺序递补推荐。</w:t>
      </w:r>
    </w:p>
    <w:p>
      <w:pPr>
        <w:spacing w:line="360" w:lineRule="auto" w:before="160" w:after="80"/>
        <w:ind w:firstLine="0"/>
        <w:jc w:val="left"/>
      </w:pPr>
      <w:r>
        <w:rPr>
          <w:rFonts w:ascii="Times New Roman" w:hAnsi="Times New Roman" w:eastAsia="宋体"/>
          <w:b/>
          <w:sz w:val="28"/>
        </w:rPr>
        <w:t>三、各专业分配指标</w:t>
      </w:r>
    </w:p>
    <w:tbl>
      <w:tblPr>
        <w:tblStyle w:val="TableGrid"/>
        <w:tblW w:type="auto" w:w="0"/>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b/>
                <w:sz w:val="21"/>
              </w:rPr>
              <w:t>专业</w:t>
            </w:r>
          </w:p>
        </w:tc>
        <w:tc>
          <w:tcPr>
            <w:tcW w:type="dxa" w:w="2878"/>
          </w:tcPr>
          <w:p>
            <w:pPr>
              <w:jc w:val="center"/>
            </w:pPr>
            <w:r>
              <w:rPr>
                <w:rFonts w:ascii="Times New Roman" w:hAnsi="Times New Roman" w:eastAsia="宋体"/>
                <w:b/>
                <w:sz w:val="21"/>
              </w:rPr>
              <w:t>第一轮</w:t>
            </w:r>
          </w:p>
        </w:tc>
        <w:tc>
          <w:tcPr>
            <w:tcW w:type="dxa" w:w="2878"/>
          </w:tcPr>
          <w:p>
            <w:pPr>
              <w:jc w:val="center"/>
            </w:pPr>
            <w:r>
              <w:rPr>
                <w:rFonts w:ascii="Times New Roman" w:hAnsi="Times New Roman" w:eastAsia="宋体"/>
                <w:b/>
                <w:sz w:val="21"/>
              </w:rPr>
              <w:t>（按班级分配）</w:t>
            </w:r>
          </w:p>
        </w:tc>
      </w:tr>
      <w:tr>
        <w:tc>
          <w:tcPr>
            <w:tcW w:type="dxa" w:w="2878"/>
          </w:tcPr>
          <w:p>
            <w:pPr>
              <w:jc w:val="center"/>
            </w:pPr>
            <w:r>
              <w:rPr>
                <w:rFonts w:ascii="Times New Roman" w:hAnsi="Times New Roman" w:eastAsia="宋体"/>
                <w:sz w:val="21"/>
              </w:rPr>
              <w:t>第二轮</w:t>
            </w:r>
          </w:p>
        </w:tc>
        <w:tc>
          <w:tcPr>
            <w:tcW w:type="dxa" w:w="2878"/>
          </w:tcPr>
          <w:p>
            <w:pPr>
              <w:jc w:val="center"/>
            </w:pPr>
            <w:r>
              <w:rPr>
                <w:rFonts w:ascii="Times New Roman" w:hAnsi="Times New Roman" w:eastAsia="宋体"/>
                <w:sz w:val="21"/>
              </w:rPr>
              <w:t>（按一本专业分配）</w:t>
            </w:r>
          </w:p>
        </w:tc>
        <w:tc>
          <w:tcPr>
            <w:tcW w:type="dxa" w:w="2878"/>
          </w:tcPr>
          <w:p>
            <w:pPr>
              <w:jc w:val="center"/>
            </w:pPr>
            <w:r>
              <w:rPr>
                <w:rFonts w:ascii="Times New Roman" w:hAnsi="Times New Roman" w:eastAsia="宋体"/>
                <w:sz w:val="21"/>
              </w:rPr>
              <w:t>数学与应用数学</w:t>
            </w:r>
          </w:p>
        </w:tc>
      </w:tr>
      <w:tr>
        <w:tc>
          <w:tcPr>
            <w:tcW w:type="dxa" w:w="2878"/>
          </w:tcPr>
          <w:p>
            <w:pPr>
              <w:jc w:val="center"/>
            </w:pPr>
            <w:r>
              <w:rPr>
                <w:rFonts w:ascii="Times New Roman" w:hAnsi="Times New Roman" w:eastAsia="宋体"/>
                <w:sz w:val="21"/>
              </w:rPr>
              <w:t>2</w:t>
            </w:r>
          </w:p>
        </w:tc>
        <w:tc>
          <w:tcPr>
            <w:tcW w:type="dxa" w:w="2878"/>
          </w:tcPr>
          <w:p>
            <w:pPr>
              <w:jc w:val="center"/>
            </w:pPr>
            <w:r>
              <w:rPr>
                <w:rFonts w:ascii="Times New Roman" w:hAnsi="Times New Roman" w:eastAsia="宋体"/>
                <w:sz w:val="21"/>
              </w:rPr>
              <w:t>1</w:t>
            </w:r>
          </w:p>
        </w:tc>
        <w:tc>
          <w:tcPr>
            <w:tcW w:type="dxa" w:w="2878"/>
          </w:tcPr>
          <w:p>
            <w:pPr>
              <w:jc w:val="center"/>
            </w:pPr>
            <w:r>
              <w:rPr>
                <w:rFonts w:ascii="Times New Roman" w:hAnsi="Times New Roman" w:eastAsia="宋体"/>
                <w:sz w:val="21"/>
              </w:rPr>
              <w:t>计算机科学与技术</w:t>
            </w:r>
          </w:p>
        </w:tc>
      </w:tr>
      <w:tr>
        <w:tc>
          <w:tcPr>
            <w:tcW w:type="dxa" w:w="2878"/>
          </w:tcPr>
          <w:p>
            <w:pPr>
              <w:jc w:val="center"/>
            </w:pPr>
            <w:r>
              <w:rPr>
                <w:rFonts w:ascii="Times New Roman" w:hAnsi="Times New Roman" w:eastAsia="宋体"/>
                <w:sz w:val="21"/>
              </w:rPr>
              <w:t>2</w:t>
            </w:r>
          </w:p>
        </w:tc>
        <w:tc>
          <w:tcPr>
            <w:tcW w:type="dxa" w:w="2878"/>
          </w:tcPr>
          <w:p>
            <w:pPr>
              <w:jc w:val="center"/>
            </w:pPr>
            <w:r>
              <w:rPr>
                <w:rFonts w:ascii="Times New Roman" w:hAnsi="Times New Roman" w:eastAsia="宋体"/>
                <w:sz w:val="21"/>
              </w:rPr>
              <w:t>1</w:t>
            </w:r>
          </w:p>
        </w:tc>
        <w:tc>
          <w:tcPr>
            <w:tcW w:type="dxa" w:w="2878"/>
          </w:tcPr>
          <w:p>
            <w:pPr>
              <w:jc w:val="center"/>
            </w:pPr>
            <w:r>
              <w:rPr>
                <w:rFonts w:ascii="Times New Roman" w:hAnsi="Times New Roman" w:eastAsia="宋体"/>
                <w:sz w:val="21"/>
              </w:rPr>
              <w:t>物联网工程</w:t>
            </w:r>
          </w:p>
        </w:tc>
      </w:tr>
      <w:tr>
        <w:tc>
          <w:tcPr>
            <w:tcW w:type="dxa" w:w="2878"/>
          </w:tcPr>
          <w:p>
            <w:pPr>
              <w:jc w:val="center"/>
            </w:pPr>
            <w:r>
              <w:rPr>
                <w:rFonts w:ascii="Times New Roman" w:hAnsi="Times New Roman" w:eastAsia="宋体"/>
                <w:sz w:val="21"/>
              </w:rPr>
              <w:t>1</w:t>
            </w:r>
          </w:p>
        </w:tc>
        <w:tc>
          <w:tcPr>
            <w:tcW w:type="dxa" w:w="2878"/>
          </w:tcPr>
          <w:p>
            <w:pPr>
              <w:jc w:val="center"/>
            </w:pPr>
            <w:r>
              <w:rPr>
                <w:rFonts w:ascii="Times New Roman" w:hAnsi="Times New Roman" w:eastAsia="宋体"/>
                <w:sz w:val="21"/>
              </w:rPr>
              <w:t>0</w:t>
            </w:r>
          </w:p>
        </w:tc>
        <w:tc>
          <w:tcPr>
            <w:tcW w:type="dxa" w:w="2878"/>
          </w:tcPr>
          <w:p>
            <w:pPr>
              <w:jc w:val="center"/>
            </w:pPr>
            <w:r>
              <w:rPr>
                <w:rFonts w:ascii="Times New Roman" w:hAnsi="Times New Roman" w:eastAsia="宋体"/>
                <w:sz w:val="21"/>
              </w:rPr>
              <w:t>数据科学与大数据技术</w:t>
            </w:r>
          </w:p>
        </w:tc>
      </w:tr>
      <w:tr>
        <w:tc>
          <w:tcPr>
            <w:tcW w:type="dxa" w:w="2878"/>
          </w:tcPr>
          <w:p>
            <w:pPr>
              <w:jc w:val="center"/>
            </w:pPr>
            <w:r>
              <w:rPr>
                <w:rFonts w:ascii="Times New Roman" w:hAnsi="Times New Roman" w:eastAsia="宋体"/>
                <w:sz w:val="21"/>
              </w:rPr>
              <w:t>1</w:t>
            </w:r>
          </w:p>
        </w:tc>
        <w:tc>
          <w:tcPr>
            <w:tcW w:type="dxa" w:w="2878"/>
          </w:tcPr>
          <w:p>
            <w:pPr>
              <w:jc w:val="center"/>
            </w:pPr>
            <w:r>
              <w:rPr>
                <w:rFonts w:ascii="Times New Roman" w:hAnsi="Times New Roman" w:eastAsia="宋体"/>
                <w:sz w:val="21"/>
              </w:rPr>
              <w:t>0</w:t>
            </w:r>
          </w:p>
        </w:tc>
        <w:tc>
          <w:tcPr>
            <w:tcW w:type="dxa" w:w="2878"/>
          </w:tcPr>
          <w:p>
            <w:pPr>
              <w:jc w:val="center"/>
            </w:pPr>
            <w:r>
              <w:rPr>
                <w:rFonts w:ascii="Times New Roman" w:hAnsi="Times New Roman" w:eastAsia="宋体"/>
                <w:sz w:val="21"/>
              </w:rPr>
              <w:t>信息安全</w:t>
            </w:r>
          </w:p>
        </w:tc>
      </w:tr>
      <w:tr>
        <w:tc>
          <w:tcPr>
            <w:tcW w:type="dxa" w:w="2878"/>
          </w:tcPr>
          <w:p>
            <w:pPr>
              <w:jc w:val="center"/>
            </w:pPr>
            <w:r>
              <w:rPr>
                <w:rFonts w:ascii="Times New Roman" w:hAnsi="Times New Roman" w:eastAsia="宋体"/>
                <w:sz w:val="21"/>
              </w:rPr>
              <w:t>1</w:t>
            </w:r>
          </w:p>
        </w:tc>
        <w:tc>
          <w:tcPr>
            <w:tcW w:type="dxa" w:w="2878"/>
          </w:tcPr>
          <w:p>
            <w:pPr>
              <w:jc w:val="center"/>
            </w:pPr>
            <w:r>
              <w:rPr>
                <w:rFonts w:ascii="Times New Roman" w:hAnsi="Times New Roman" w:eastAsia="宋体"/>
                <w:sz w:val="21"/>
              </w:rPr>
              <w:t>0</w:t>
            </w:r>
          </w:p>
        </w:tc>
        <w:tc>
          <w:tcPr>
            <w:tcW w:type="dxa" w:w="2878"/>
          </w:tcPr>
          <w:p>
            <w:pPr>
              <w:jc w:val="center"/>
            </w:pPr>
            <w:r>
              <w:rPr>
                <w:rFonts w:ascii="Times New Roman" w:hAnsi="Times New Roman" w:eastAsia="宋体"/>
                <w:sz w:val="21"/>
              </w:rPr>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