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环境科学与工程学院2026年推荐优秀应届本科毕业生免试攻读硕士研究生工作实施细则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环境科学与工程学院2026年推荐优秀应届本科毕业生免试攻读硕士研究生工作实施细则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加强国家战略急需拔尖创新人才选拔，科学改革学生综合素质评价方式，促进和激励本科生勤奋学习、全面发展，规范、高效地做好学院2026年推荐优秀应届本科毕业生免试攻读硕士研究生相关工作，根据学校《关于做好2026年推荐优秀应届本科毕业生免试攻读研究生工作的通知》（以下简称“2026年推免工作通知”）相关要求，结合学院实际，制定本实施细则。</w:t>
      </w:r>
    </w:p>
    <w:p>
      <w:pPr>
        <w:spacing w:before="160" w:after="80" w:lineRule="auto" w:line="360"/>
        <w:jc w:val="left"/>
      </w:pPr>
      <w:r>
        <w:rPr>
          <w:rFonts w:ascii="Times New Roman" w:hAnsi="Times New Roman" w:eastAsia="宋体"/>
          <w:b/>
          <w:sz w:val="28"/>
        </w:rPr>
        <w:t>一、组织与领导</w:t>
      </w:r>
    </w:p>
    <w:p>
      <w:pPr>
        <w:spacing w:after="80" w:lineRule="auto" w:line="360"/>
        <w:ind w:firstLine="482"/>
        <w:jc w:val="both"/>
      </w:pPr>
      <w:r>
        <w:rPr>
          <w:rFonts w:ascii="Times New Roman" w:hAnsi="Times New Roman" w:eastAsia="宋体"/>
          <w:b w:val="0"/>
          <w:sz w:val="24"/>
        </w:rP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pPr>
        <w:spacing w:after="80" w:lineRule="auto" w:line="360"/>
        <w:ind w:firstLine="482"/>
        <w:jc w:val="both"/>
      </w:pPr>
      <w:r>
        <w:rPr>
          <w:rFonts w:ascii="Times New Roman" w:hAnsi="Times New Roman" w:eastAsia="宋体"/>
          <w:b w:val="0"/>
          <w:sz w:val="24"/>
        </w:rPr>
        <w:t>学院成立由相关学科教学指导委员会专家组成的学院推免生遴选专家审核小组（专家组成员具有相关学科副教授以上职称，不少于 5 人），负责论证学院相关学科专业的科研创新成果、参赛获奖等加分指标认定范围、标准等要求，以及审核鉴定学生申报的科研创新成果和参赛获奖材料。</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根据学校的统筹安排，我院今年可推荐14名应届本科毕业生免试攻读硕士研究生，并且可按应届毕业生人数的0.5%（四舍五入）确定候补。学院按专业2026届毕业生情况、本科专业建设水平、研究生培养条件和吸引力、国家战略人才需求，以及拔尖创新人才培养等因素分配各专业推免名额，如表1所示。</w:t>
      </w:r>
    </w:p>
    <w:p>
      <w:pPr>
        <w:spacing w:after="80" w:lineRule="auto" w:line="360"/>
        <w:ind w:firstLine="482"/>
        <w:jc w:val="both"/>
      </w:pPr>
      <w:r>
        <w:rPr>
          <w:rFonts w:ascii="Times New Roman" w:hAnsi="Times New Roman" w:eastAsia="宋体"/>
          <w:b w:val="0"/>
          <w:sz w:val="24"/>
        </w:rPr>
        <w:t>表1 各专业可推荐人数及候补人数</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推荐人数</w:t>
            </w:r>
          </w:p>
        </w:tc>
        <w:tc>
          <w:tcPr>
            <w:tcW w:type="dxa" w:w="2878"/>
          </w:tcPr>
          <w:p>
            <w:pPr>
              <w:spacing w:after="20" w:before="20"/>
            </w:pPr>
            <w:r/>
            <w:r>
              <w:rPr>
                <w:rFonts w:ascii="Times New Roman" w:hAnsi="Times New Roman" w:eastAsia="宋体"/>
                <w:b/>
                <w:sz w:val="21"/>
              </w:rPr>
              <w:t>候补人数</w:t>
            </w:r>
          </w:p>
        </w:tc>
      </w:tr>
      <w:tr>
        <w:tc>
          <w:tcPr>
            <w:tcW w:type="dxa" w:w="2878"/>
          </w:tcPr>
          <w:p>
            <w:pPr>
              <w:spacing w:after="20" w:before="20"/>
            </w:pPr>
            <w:r/>
            <w:r>
              <w:rPr>
                <w:rFonts w:ascii="Times New Roman" w:hAnsi="Times New Roman" w:eastAsia="宋体"/>
                <w:b w:val="0"/>
                <w:sz w:val="21"/>
              </w:rPr>
              <w:t>环境工程</w:t>
            </w:r>
          </w:p>
        </w:tc>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环境科学</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水质科学与技术</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资源环境科学</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