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西藏大学工学院2026届免试攻读硕士学位研究生审核情况与拟推荐名单公示</w:t>
      </w:r>
    </w:p>
    <w:p>
      <w:pPr>
        <w:spacing w:before="160" w:after="80" w:lineRule="auto" w:line="360"/>
        <w:jc w:val="left"/>
      </w:pPr>
      <w:r>
        <w:rPr>
          <w:rFonts w:ascii="Times New Roman" w:hAnsi="Times New Roman" w:eastAsia="宋体"/>
          <w:b/>
          <w:sz w:val="28"/>
        </w:rPr>
        <w:t>一、名单人数与专业明细</w:t>
      </w:r>
    </w:p>
    <w:p>
      <w:pPr>
        <w:spacing w:after="80" w:lineRule="auto" w:line="360"/>
        <w:ind w:firstLine="482"/>
        <w:jc w:val="both"/>
      </w:pPr>
      <w:r>
        <w:rPr>
          <w:rFonts w:ascii="Times New Roman" w:hAnsi="Times New Roman" w:eastAsia="宋体"/>
          <w:b w:val="0"/>
          <w:sz w:val="24"/>
        </w:rPr>
        <w:t>发布日期（推定）：2025年5月16日</w:t>
      </w:r>
    </w:p>
    <w:p>
      <w:pPr>
        <w:spacing w:after="80" w:lineRule="auto" w:line="360"/>
        <w:ind w:firstLine="482"/>
        <w:jc w:val="both"/>
      </w:pPr>
      <w:r>
        <w:rPr>
          <w:rFonts w:ascii="Times New Roman" w:hAnsi="Times New Roman" w:eastAsia="宋体"/>
          <w:b w:val="0"/>
          <w:sz w:val="24"/>
        </w:rPr>
        <w:t>总计23人，其中拟推荐18人、递补2人、未通过3人。分专业明细如下：</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专业</w:t>
            </w:r>
          </w:p>
        </w:tc>
        <w:tc>
          <w:tcPr>
            <w:tcW w:type="dxa" w:w="1727"/>
          </w:tcPr>
          <w:p>
            <w:pPr>
              <w:spacing w:after="20" w:before="20"/>
            </w:pPr>
            <w:r/>
            <w:r>
              <w:rPr>
                <w:rFonts w:ascii="Times New Roman" w:hAnsi="Times New Roman" w:eastAsia="宋体"/>
                <w:b/>
                <w:sz w:val="21"/>
              </w:rPr>
              <w:t>总人数</w:t>
            </w:r>
          </w:p>
        </w:tc>
        <w:tc>
          <w:tcPr>
            <w:tcW w:type="dxa" w:w="1727"/>
          </w:tcPr>
          <w:p>
            <w:pPr>
              <w:spacing w:after="20" w:before="20"/>
            </w:pPr>
            <w:r/>
            <w:r>
              <w:rPr>
                <w:rFonts w:ascii="Times New Roman" w:hAnsi="Times New Roman" w:eastAsia="宋体"/>
                <w:b/>
                <w:sz w:val="21"/>
              </w:rPr>
              <w:t>拟推荐</w:t>
            </w:r>
          </w:p>
        </w:tc>
        <w:tc>
          <w:tcPr>
            <w:tcW w:type="dxa" w:w="1727"/>
          </w:tcPr>
          <w:p>
            <w:pPr>
              <w:spacing w:after="20" w:before="20"/>
            </w:pPr>
            <w:r/>
            <w:r>
              <w:rPr>
                <w:rFonts w:ascii="Times New Roman" w:hAnsi="Times New Roman" w:eastAsia="宋体"/>
                <w:b/>
                <w:sz w:val="21"/>
              </w:rPr>
              <w:t>递补</w:t>
            </w:r>
          </w:p>
        </w:tc>
        <w:tc>
          <w:tcPr>
            <w:tcW w:type="dxa" w:w="1727"/>
          </w:tcPr>
          <w:p>
            <w:pPr>
              <w:spacing w:after="20" w:before="20"/>
            </w:pPr>
            <w:r/>
            <w:r>
              <w:rPr>
                <w:rFonts w:ascii="Times New Roman" w:hAnsi="Times New Roman" w:eastAsia="宋体"/>
                <w:b/>
                <w:sz w:val="21"/>
              </w:rPr>
              <w:t>未通过</w:t>
            </w:r>
          </w:p>
        </w:tc>
      </w:tr>
      <w:tr>
        <w:tc>
          <w:tcPr>
            <w:tcW w:type="dxa" w:w="1727"/>
          </w:tcPr>
          <w:p>
            <w:pPr>
              <w:spacing w:after="20" w:before="20"/>
            </w:pPr>
            <w:r/>
            <w:r>
              <w:rPr>
                <w:rFonts w:ascii="Times New Roman" w:hAnsi="Times New Roman" w:eastAsia="宋体"/>
                <w:b w:val="0"/>
                <w:sz w:val="21"/>
              </w:rPr>
              <w:t>建筑学</w:t>
            </w:r>
          </w:p>
        </w:tc>
        <w:tc>
          <w:tcPr>
            <w:tcW w:type="dxa" w:w="1727"/>
          </w:tcPr>
          <w:p>
            <w:pPr>
              <w:spacing w:after="20" w:before="20"/>
            </w:pPr>
            <w:r/>
            <w:r>
              <w:rPr>
                <w:rFonts w:ascii="Times New Roman" w:hAnsi="Times New Roman" w:eastAsia="宋体"/>
                <w:b w:val="0"/>
                <w:sz w:val="21"/>
              </w:rPr>
              <w:t>4</w:t>
            </w:r>
          </w:p>
        </w:tc>
        <w:tc>
          <w:tcPr>
            <w:tcW w:type="dxa" w:w="1727"/>
          </w:tcPr>
          <w:p>
            <w:pPr>
              <w:spacing w:after="20" w:before="20"/>
            </w:pPr>
            <w:r/>
            <w:r>
              <w:rPr>
                <w:rFonts w:ascii="Times New Roman" w:hAnsi="Times New Roman" w:eastAsia="宋体"/>
                <w:b w:val="0"/>
                <w:sz w:val="21"/>
              </w:rPr>
              <w:t>2</w:t>
            </w:r>
          </w:p>
        </w:tc>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1</w:t>
            </w:r>
          </w:p>
        </w:tc>
      </w:tr>
      <w:tr>
        <w:tc>
          <w:tcPr>
            <w:tcW w:type="dxa" w:w="1727"/>
          </w:tcPr>
          <w:p>
            <w:pPr>
              <w:spacing w:after="20" w:before="20"/>
            </w:pPr>
            <w:r/>
            <w:r>
              <w:rPr>
                <w:rFonts w:ascii="Times New Roman" w:hAnsi="Times New Roman" w:eastAsia="宋体"/>
                <w:b w:val="0"/>
                <w:sz w:val="21"/>
              </w:rPr>
              <w:t>城乡规划</w:t>
            </w:r>
          </w:p>
        </w:tc>
        <w:tc>
          <w:tcPr>
            <w:tcW w:type="dxa" w:w="1727"/>
          </w:tcPr>
          <w:p>
            <w:pPr>
              <w:spacing w:after="20" w:before="20"/>
            </w:pPr>
            <w:r/>
            <w:r>
              <w:rPr>
                <w:rFonts w:ascii="Times New Roman" w:hAnsi="Times New Roman" w:eastAsia="宋体"/>
                <w:b w:val="0"/>
                <w:sz w:val="21"/>
              </w:rPr>
              <w:t>4</w:t>
            </w:r>
          </w:p>
        </w:tc>
        <w:tc>
          <w:tcPr>
            <w:tcW w:type="dxa" w:w="1727"/>
          </w:tcPr>
          <w:p>
            <w:pPr>
              <w:spacing w:after="20" w:before="20"/>
            </w:pPr>
            <w:r/>
            <w:r>
              <w:rPr>
                <w:rFonts w:ascii="Times New Roman" w:hAnsi="Times New Roman" w:eastAsia="宋体"/>
                <w:b w:val="0"/>
                <w:sz w:val="21"/>
              </w:rPr>
              <w:t>3</w:t>
            </w:r>
          </w:p>
        </w:tc>
        <w:tc>
          <w:tcPr>
            <w:tcW w:type="dxa" w:w="1727"/>
          </w:tcPr>
          <w:p>
            <w:pPr>
              <w:spacing w:after="20" w:before="20"/>
            </w:pPr>
            <w:r/>
            <w:r>
              <w:rPr>
                <w:rFonts w:ascii="Times New Roman" w:hAnsi="Times New Roman" w:eastAsia="宋体"/>
                <w:b w:val="0"/>
                <w:sz w:val="21"/>
              </w:rPr>
              <w:t>0</w:t>
            </w:r>
          </w:p>
        </w:tc>
        <w:tc>
          <w:tcPr>
            <w:tcW w:type="dxa" w:w="1727"/>
          </w:tcPr>
          <w:p>
            <w:pPr>
              <w:spacing w:after="20" w:before="20"/>
            </w:pPr>
            <w:r/>
            <w:r>
              <w:rPr>
                <w:rFonts w:ascii="Times New Roman" w:hAnsi="Times New Roman" w:eastAsia="宋体"/>
                <w:b w:val="0"/>
                <w:sz w:val="21"/>
              </w:rPr>
              <w:t>1</w:t>
            </w:r>
          </w:p>
        </w:tc>
      </w:tr>
      <w:tr>
        <w:tc>
          <w:tcPr>
            <w:tcW w:type="dxa" w:w="1727"/>
          </w:tcPr>
          <w:p>
            <w:pPr>
              <w:spacing w:after="20" w:before="20"/>
            </w:pPr>
            <w:r/>
            <w:r>
              <w:rPr>
                <w:rFonts w:ascii="Times New Roman" w:hAnsi="Times New Roman" w:eastAsia="宋体"/>
                <w:b w:val="0"/>
                <w:sz w:val="21"/>
              </w:rPr>
              <w:t>土木工程</w:t>
            </w:r>
          </w:p>
        </w:tc>
        <w:tc>
          <w:tcPr>
            <w:tcW w:type="dxa" w:w="1727"/>
          </w:tcPr>
          <w:p>
            <w:pPr>
              <w:spacing w:after="20" w:before="20"/>
            </w:pPr>
            <w:r/>
            <w:r>
              <w:rPr>
                <w:rFonts w:ascii="Times New Roman" w:hAnsi="Times New Roman" w:eastAsia="宋体"/>
                <w:b w:val="0"/>
                <w:sz w:val="21"/>
              </w:rPr>
              <w:t>3</w:t>
            </w:r>
          </w:p>
        </w:tc>
        <w:tc>
          <w:tcPr>
            <w:tcW w:type="dxa" w:w="1727"/>
          </w:tcPr>
          <w:p>
            <w:pPr>
              <w:spacing w:after="20" w:before="20"/>
            </w:pPr>
            <w:r/>
            <w:r>
              <w:rPr>
                <w:rFonts w:ascii="Times New Roman" w:hAnsi="Times New Roman" w:eastAsia="宋体"/>
                <w:b w:val="0"/>
                <w:sz w:val="21"/>
              </w:rPr>
              <w:t>3</w:t>
            </w:r>
          </w:p>
        </w:tc>
        <w:tc>
          <w:tcPr>
            <w:tcW w:type="dxa" w:w="1727"/>
          </w:tcPr>
          <w:p>
            <w:pPr>
              <w:spacing w:after="20" w:before="20"/>
            </w:pPr>
            <w:r/>
            <w:r>
              <w:rPr>
                <w:rFonts w:ascii="Times New Roman" w:hAnsi="Times New Roman" w:eastAsia="宋体"/>
                <w:b w:val="0"/>
                <w:sz w:val="21"/>
              </w:rPr>
              <w:t>0</w:t>
            </w:r>
          </w:p>
        </w:tc>
        <w:tc>
          <w:tcPr>
            <w:tcW w:type="dxa" w:w="1727"/>
          </w:tcPr>
          <w:p>
            <w:pPr>
              <w:spacing w:after="20" w:before="20"/>
            </w:pPr>
            <w:r/>
            <w:r>
              <w:rPr>
                <w:rFonts w:ascii="Times New Roman" w:hAnsi="Times New Roman" w:eastAsia="宋体"/>
                <w:b w:val="0"/>
                <w:sz w:val="21"/>
              </w:rPr>
              <w:t>0</w:t>
            </w:r>
          </w:p>
        </w:tc>
      </w:tr>
      <w:tr>
        <w:tc>
          <w:tcPr>
            <w:tcW w:type="dxa" w:w="1727"/>
          </w:tcPr>
          <w:p>
            <w:pPr>
              <w:spacing w:after="20" w:before="20"/>
            </w:pPr>
            <w:r/>
            <w:r>
              <w:rPr>
                <w:rFonts w:ascii="Times New Roman" w:hAnsi="Times New Roman" w:eastAsia="宋体"/>
                <w:b w:val="0"/>
                <w:sz w:val="21"/>
              </w:rPr>
              <w:t>资源勘查工程</w:t>
            </w:r>
          </w:p>
        </w:tc>
        <w:tc>
          <w:tcPr>
            <w:tcW w:type="dxa" w:w="1727"/>
          </w:tcPr>
          <w:p>
            <w:pPr>
              <w:spacing w:after="20" w:before="20"/>
            </w:pPr>
            <w:r/>
            <w:r>
              <w:rPr>
                <w:rFonts w:ascii="Times New Roman" w:hAnsi="Times New Roman" w:eastAsia="宋体"/>
                <w:b w:val="0"/>
                <w:sz w:val="21"/>
              </w:rPr>
              <w:t>5</w:t>
            </w:r>
          </w:p>
        </w:tc>
        <w:tc>
          <w:tcPr>
            <w:tcW w:type="dxa" w:w="1727"/>
          </w:tcPr>
          <w:p>
            <w:pPr>
              <w:spacing w:after="20" w:before="20"/>
            </w:pPr>
            <w:r/>
            <w:r>
              <w:rPr>
                <w:rFonts w:ascii="Times New Roman" w:hAnsi="Times New Roman" w:eastAsia="宋体"/>
                <w:b w:val="0"/>
                <w:sz w:val="21"/>
              </w:rPr>
              <w:t>3</w:t>
            </w:r>
          </w:p>
        </w:tc>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1</w:t>
            </w:r>
          </w:p>
        </w:tc>
      </w:tr>
      <w:tr>
        <w:tc>
          <w:tcPr>
            <w:tcW w:type="dxa" w:w="1727"/>
          </w:tcPr>
          <w:p>
            <w:pPr>
              <w:spacing w:after="20" w:before="20"/>
            </w:pPr>
            <w:r/>
            <w:r>
              <w:rPr>
                <w:rFonts w:ascii="Times New Roman" w:hAnsi="Times New Roman" w:eastAsia="宋体"/>
                <w:b w:val="0"/>
                <w:sz w:val="21"/>
              </w:rPr>
              <w:t>交通运输（道路）</w:t>
            </w:r>
          </w:p>
        </w:tc>
        <w:tc>
          <w:tcPr>
            <w:tcW w:type="dxa" w:w="1727"/>
          </w:tcPr>
          <w:p>
            <w:pPr>
              <w:spacing w:after="20" w:before="20"/>
            </w:pPr>
            <w:r/>
            <w:r>
              <w:rPr>
                <w:rFonts w:ascii="Times New Roman" w:hAnsi="Times New Roman" w:eastAsia="宋体"/>
                <w:b w:val="0"/>
                <w:sz w:val="21"/>
              </w:rPr>
              <w:t>4</w:t>
            </w:r>
          </w:p>
        </w:tc>
        <w:tc>
          <w:tcPr>
            <w:tcW w:type="dxa" w:w="1727"/>
          </w:tcPr>
          <w:p>
            <w:pPr>
              <w:spacing w:after="20" w:before="20"/>
            </w:pPr>
            <w:r/>
            <w:r>
              <w:rPr>
                <w:rFonts w:ascii="Times New Roman" w:hAnsi="Times New Roman" w:eastAsia="宋体"/>
                <w:b w:val="0"/>
                <w:sz w:val="21"/>
              </w:rPr>
              <w:t>4</w:t>
            </w:r>
          </w:p>
        </w:tc>
        <w:tc>
          <w:tcPr>
            <w:tcW w:type="dxa" w:w="1727"/>
          </w:tcPr>
          <w:p>
            <w:pPr>
              <w:spacing w:after="20" w:before="20"/>
            </w:pPr>
            <w:r/>
            <w:r>
              <w:rPr>
                <w:rFonts w:ascii="Times New Roman" w:hAnsi="Times New Roman" w:eastAsia="宋体"/>
                <w:b w:val="0"/>
                <w:sz w:val="21"/>
              </w:rPr>
              <w:t>0</w:t>
            </w:r>
          </w:p>
        </w:tc>
        <w:tc>
          <w:tcPr>
            <w:tcW w:type="dxa" w:w="1727"/>
          </w:tcPr>
          <w:p>
            <w:pPr>
              <w:spacing w:after="20" w:before="20"/>
            </w:pPr>
            <w:r/>
            <w:r>
              <w:rPr>
                <w:rFonts w:ascii="Times New Roman" w:hAnsi="Times New Roman" w:eastAsia="宋体"/>
                <w:b w:val="0"/>
                <w:sz w:val="21"/>
              </w:rPr>
              <w:t>0</w:t>
            </w:r>
          </w:p>
        </w:tc>
      </w:tr>
      <w:tr>
        <w:tc>
          <w:tcPr>
            <w:tcW w:type="dxa" w:w="1727"/>
          </w:tcPr>
          <w:p>
            <w:pPr>
              <w:spacing w:after="20" w:before="20"/>
            </w:pPr>
            <w:r/>
            <w:r>
              <w:rPr>
                <w:rFonts w:ascii="Times New Roman" w:hAnsi="Times New Roman" w:eastAsia="宋体"/>
                <w:b w:val="0"/>
                <w:sz w:val="21"/>
              </w:rPr>
              <w:t>交通运输（铁路）</w:t>
            </w:r>
          </w:p>
        </w:tc>
        <w:tc>
          <w:tcPr>
            <w:tcW w:type="dxa" w:w="1727"/>
          </w:tcPr>
          <w:p>
            <w:pPr>
              <w:spacing w:after="20" w:before="20"/>
            </w:pPr>
            <w:r/>
            <w:r>
              <w:rPr>
                <w:rFonts w:ascii="Times New Roman" w:hAnsi="Times New Roman" w:eastAsia="宋体"/>
                <w:b w:val="0"/>
                <w:sz w:val="21"/>
              </w:rPr>
              <w:t>3</w:t>
            </w:r>
          </w:p>
        </w:tc>
        <w:tc>
          <w:tcPr>
            <w:tcW w:type="dxa" w:w="1727"/>
          </w:tcPr>
          <w:p>
            <w:pPr>
              <w:spacing w:after="20" w:before="20"/>
            </w:pPr>
            <w:r/>
            <w:r>
              <w:rPr>
                <w:rFonts w:ascii="Times New Roman" w:hAnsi="Times New Roman" w:eastAsia="宋体"/>
                <w:b w:val="0"/>
                <w:sz w:val="21"/>
              </w:rPr>
              <w:t>3</w:t>
            </w:r>
          </w:p>
        </w:tc>
        <w:tc>
          <w:tcPr>
            <w:tcW w:type="dxa" w:w="1727"/>
          </w:tcPr>
          <w:p>
            <w:pPr>
              <w:spacing w:after="20" w:before="20"/>
            </w:pPr>
            <w:r/>
            <w:r>
              <w:rPr>
                <w:rFonts w:ascii="Times New Roman" w:hAnsi="Times New Roman" w:eastAsia="宋体"/>
                <w:b w:val="0"/>
                <w:sz w:val="21"/>
              </w:rPr>
              <w:t>0</w:t>
            </w:r>
          </w:p>
        </w:tc>
        <w:tc>
          <w:tcPr>
            <w:tcW w:type="dxa" w:w="1727"/>
          </w:tcPr>
          <w:p>
            <w:pPr>
              <w:spacing w:after="20" w:before="20"/>
            </w:pPr>
            <w:r/>
            <w:r>
              <w:rPr>
                <w:rFonts w:ascii="Times New Roman" w:hAnsi="Times New Roman" w:eastAsia="宋体"/>
                <w:b w:val="0"/>
                <w:sz w:val="21"/>
              </w:rPr>
              <w:t>0</w:t>
            </w:r>
          </w:p>
        </w:tc>
      </w:tr>
    </w:tbl>
    <w:p>
      <w:pPr>
        <w:spacing w:before="160" w:after="80" w:lineRule="auto" w:line="360"/>
        <w:jc w:val="left"/>
      </w:pPr>
      <w:r>
        <w:rPr>
          <w:rFonts w:ascii="Times New Roman" w:hAnsi="Times New Roman" w:eastAsia="宋体"/>
          <w:b/>
          <w:sz w:val="28"/>
        </w:rPr>
        <w:t>二、涵盖专业</w:t>
      </w:r>
    </w:p>
    <w:p>
      <w:pPr>
        <w:spacing w:after="80" w:lineRule="auto" w:line="360"/>
        <w:ind w:firstLine="482"/>
        <w:jc w:val="both"/>
      </w:pPr>
      <w:r>
        <w:rPr>
          <w:rFonts w:ascii="Times New Roman" w:hAnsi="Times New Roman" w:eastAsia="宋体"/>
          <w:b w:val="0"/>
          <w:sz w:val="24"/>
        </w:rPr>
        <w:t>建筑学、城乡规划、土木工程、资源勘查工程、交通运输（道路）、交通运输（铁路），共6个专业。</w:t>
      </w:r>
    </w:p>
    <w:p>
      <w:pPr>
        <w:spacing w:before="160" w:after="80" w:lineRule="auto" w:line="360"/>
        <w:jc w:val="left"/>
      </w:pPr>
      <w:r>
        <w:rPr>
          <w:rFonts w:ascii="Times New Roman" w:hAnsi="Times New Roman" w:eastAsia="宋体"/>
          <w:b/>
          <w:sz w:val="28"/>
        </w:rPr>
        <w:t>三、排名与评分方式</w:t>
      </w:r>
    </w:p>
    <w:p>
      <w:pPr>
        <w:spacing w:after="80" w:lineRule="auto" w:line="360"/>
        <w:ind w:firstLine="482"/>
        <w:jc w:val="both"/>
      </w:pPr>
      <w:r>
        <w:rPr>
          <w:rFonts w:ascii="Times New Roman" w:hAnsi="Times New Roman" w:eastAsia="宋体"/>
          <w:b w:val="0"/>
          <w:sz w:val="24"/>
        </w:rPr>
        <w:t>1. 按专业独立排名，以总评成绩（专业成绩×0.75+综合量化×0.05+外语水平+科研成绩×0.1，百分制，保留2位小数）为核心评分依据，按总评成绩高低确定专业内综合名次。</w:t>
      </w:r>
    </w:p>
    <w:p>
      <w:pPr>
        <w:spacing w:after="80" w:lineRule="auto" w:line="360"/>
        <w:ind w:firstLine="482"/>
        <w:jc w:val="both"/>
      </w:pPr>
      <w:r>
        <w:rPr>
          <w:rFonts w:ascii="Times New Roman" w:hAnsi="Times New Roman" w:eastAsia="宋体"/>
          <w:b w:val="0"/>
          <w:sz w:val="24"/>
        </w:rPr>
        <w:t>2. 各专业排名人数分别为：建筑学30人、城乡规划33人、土木工程69人、资源勘查工程41人、交通运输（道路）38人、交通运输（铁路）39人。</w:t>
      </w:r>
    </w:p>
    <w:p>
      <w:pPr>
        <w:spacing w:after="80" w:lineRule="auto" w:line="360"/>
        <w:ind w:firstLine="482"/>
        <w:jc w:val="both"/>
      </w:pPr>
      <w:r>
        <w:rPr>
          <w:rFonts w:ascii="Times New Roman" w:hAnsi="Times New Roman" w:eastAsia="宋体"/>
          <w:b w:val="0"/>
          <w:sz w:val="24"/>
        </w:rPr>
        <w:t>3. 因土木工程专业有效申请人数少于分配指标数，其剩余2个名额由学院统一调配，根据各专业所有符合推免条件并提交申请学生的总评成绩进行全院统一排序，择优推荐。</w:t>
      </w:r>
    </w:p>
    <w:p>
      <w:pPr>
        <w:spacing w:after="80" w:lineRule="auto" w:line="360"/>
        <w:ind w:firstLine="482"/>
        <w:jc w:val="both"/>
      </w:pPr>
      <w:r>
        <w:rPr>
          <w:rFonts w:ascii="Times New Roman" w:hAnsi="Times New Roman" w:eastAsia="宋体"/>
          <w:b w:val="0"/>
          <w:sz w:val="24"/>
        </w:rPr>
        <w:t>4. 另根据各专业所有符合推免条件并提交申请学生的总评成绩，确定2位同学作为递补人选（按顺序递补）。</w:t>
      </w:r>
    </w:p>
    <w:p>
      <w:pPr>
        <w:spacing w:before="160" w:after="80" w:lineRule="auto" w:line="360"/>
        <w:jc w:val="left"/>
      </w:pPr>
      <w:r>
        <w:rPr>
          <w:rFonts w:ascii="Times New Roman" w:hAnsi="Times New Roman" w:eastAsia="宋体"/>
          <w:b/>
          <w:sz w:val="28"/>
        </w:rPr>
        <w:t>四、公示期</w:t>
      </w:r>
    </w:p>
    <w:p>
      <w:pPr>
        <w:spacing w:after="80" w:lineRule="auto" w:line="360"/>
        <w:ind w:firstLine="482"/>
        <w:jc w:val="both"/>
      </w:pPr>
      <w:r>
        <w:rPr>
          <w:rFonts w:ascii="Times New Roman" w:hAnsi="Times New Roman" w:eastAsia="宋体"/>
          <w:b w:val="0"/>
          <w:sz w:val="24"/>
        </w:rPr>
        <w:t>公示时间为2025年9月6日至2025年9月14日，共计9天。公示期内如有异议，须以书面形式向教务科或纪委（监察专员办公室）反映并提供必要的证明材料和有效联系方式，须在书面材料上签署真实姓名、学号，逾期及匿名反映不予受理。</w:t>
      </w:r>
    </w:p>
    <w:p>
      <w:pPr>
        <w:spacing w:after="80" w:lineRule="auto" w:line="360"/>
        <w:ind w:firstLine="482"/>
        <w:jc w:val="both"/>
      </w:pPr>
      <w:r>
        <w:rPr>
          <w:rFonts w:ascii="Times New Roman" w:hAnsi="Times New Roman" w:eastAsia="宋体"/>
          <w:b w:val="0"/>
          <w:sz w:val="24"/>
        </w:rPr>
        <w:t>联系方式：纪委办公室1-205，扎西曲扎13658916616、0891-6405227；教务科，旦增卓玛13322505590。</w:t>
      </w:r>
    </w:p>
    <w:p>
      <w:pPr>
        <w:spacing w:before="160" w:after="80" w:lineRule="auto" w:line="360"/>
        <w:jc w:val="left"/>
      </w:pPr>
      <w:r>
        <w:rPr>
          <w:rFonts w:ascii="Times New Roman" w:hAnsi="Times New Roman" w:eastAsia="宋体"/>
          <w:b/>
          <w:sz w:val="28"/>
        </w:rPr>
        <w:t>五、其他重要说明</w:t>
      </w:r>
    </w:p>
    <w:p>
      <w:pPr>
        <w:spacing w:after="80" w:lineRule="auto" w:line="360"/>
        <w:ind w:firstLine="482"/>
        <w:jc w:val="both"/>
      </w:pPr>
      <w:r>
        <w:rPr>
          <w:rFonts w:ascii="Times New Roman" w:hAnsi="Times New Roman" w:eastAsia="宋体"/>
          <w:b w:val="0"/>
          <w:sz w:val="24"/>
        </w:rPr>
        <w:t>1. 未通过原因为总评成绩排名达不到班级前10%或前15%：建筑学1人排名达不到班级前10%、城乡规划1人排名达不到班级前15%、资源勘查工程1人排名达不到班级前10%。</w:t>
      </w:r>
    </w:p>
    <w:p>
      <w:pPr>
        <w:spacing w:after="80" w:lineRule="auto" w:line="360"/>
        <w:ind w:firstLine="482"/>
        <w:jc w:val="both"/>
      </w:pPr>
      <w:r>
        <w:rPr>
          <w:rFonts w:ascii="Times New Roman" w:hAnsi="Times New Roman" w:eastAsia="宋体"/>
          <w:b w:val="0"/>
          <w:sz w:val="24"/>
        </w:rPr>
        <w:t>2. 递补人选为学院排序第19名（建筑学翟靖如，递补第1顺位）和第20名（资源勘查工程马馨隆，递补第2顺位）。</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