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管理学院关于推荐2026届优秀应届本科毕业生免试攻读研究生工作的通知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1. 参照《浙江工业大学关于推荐优秀应届本科毕业生免试攻读研究生工作实施办法》及《管理学院关于推荐优秀应届本科毕业生免试攻读研究生工作实施细则（试行）》执行。</w:t>
      </w:r>
    </w:p>
    <w:p>
      <w:pPr>
        <w:spacing w:after="80" w:lineRule="auto" w:line="360"/>
        <w:ind w:firstLine="482"/>
        <w:jc w:val="both"/>
      </w:pPr>
      <w:r>
        <w:rPr>
          <w:rFonts w:ascii="Times New Roman" w:hAnsi="Times New Roman" w:eastAsia="宋体"/>
          <w:b w:val="0"/>
          <w:sz w:val="24"/>
        </w:rPr>
        <w:t>2. 自2022级起，推免生要求学业成绩排名在专业范围位于前50%，并通过英语六级。</w:t>
      </w:r>
    </w:p>
    <w:p>
      <w:pPr>
        <w:spacing w:before="160" w:after="80" w:lineRule="auto" w:line="360"/>
        <w:jc w:val="left"/>
      </w:pPr>
      <w:r>
        <w:rPr>
          <w:rFonts w:ascii="Times New Roman" w:hAnsi="Times New Roman" w:eastAsia="宋体"/>
          <w:b/>
          <w:sz w:val="28"/>
        </w:rPr>
        <w:t>二、推荐名额</w:t>
      </w:r>
    </w:p>
    <w:p>
      <w:pPr>
        <w:spacing w:after="80" w:lineRule="auto" w:line="360"/>
        <w:ind w:firstLine="482"/>
        <w:jc w:val="both"/>
      </w:pPr>
      <w:r>
        <w:rPr>
          <w:rFonts w:ascii="Times New Roman" w:hAnsi="Times New Roman" w:eastAsia="宋体"/>
          <w:b w:val="0"/>
          <w:sz w:val="24"/>
        </w:rPr>
        <w:t>1. 根据学校下达的推荐指标，我院可向学校推荐普通推免生正式推荐人选26人（含本硕博3人），预备推荐人选11人。</w:t>
      </w:r>
    </w:p>
    <w:p>
      <w:pPr>
        <w:spacing w:after="80" w:lineRule="auto" w:line="360"/>
        <w:ind w:firstLine="482"/>
        <w:jc w:val="both"/>
      </w:pPr>
      <w:r>
        <w:rPr>
          <w:rFonts w:ascii="Times New Roman" w:hAnsi="Times New Roman" w:eastAsia="宋体"/>
          <w:b w:val="0"/>
          <w:sz w:val="24"/>
        </w:rPr>
        <w:t>2. 健行生推荐人选15人（含本硕博1人），健行生预备推荐人选6人。</w:t>
      </w:r>
    </w:p>
    <w:p>
      <w:pPr>
        <w:spacing w:after="80" w:lineRule="auto" w:line="360"/>
        <w:ind w:firstLine="482"/>
        <w:jc w:val="both"/>
      </w:pPr>
      <w:r>
        <w:rPr>
          <w:rFonts w:ascii="Times New Roman" w:hAnsi="Times New Roman" w:eastAsia="宋体"/>
          <w:b w:val="0"/>
          <w:sz w:val="24"/>
        </w:rPr>
        <w:t>3. 各专业推荐名额分配如下：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正式名额</w:t>
            </w:r>
          </w:p>
        </w:tc>
        <w:tc>
          <w:tcPr>
            <w:tcW w:type="dxa" w:w="1439"/>
          </w:tcPr>
          <w:p>
            <w:pPr>
              <w:spacing w:after="20" w:before="20"/>
            </w:pPr>
            <w:r/>
            <w:r>
              <w:rPr>
                <w:rFonts w:ascii="Times New Roman" w:hAnsi="Times New Roman" w:eastAsia="宋体"/>
                <w:b/>
                <w:sz w:val="21"/>
              </w:rPr>
              <w:t>预备名额</w:t>
            </w:r>
          </w:p>
        </w:tc>
        <w:tc>
          <w:tcPr>
            <w:tcW w:type="dxa" w:w="1439"/>
          </w:tcPr>
          <w:p>
            <w:pPr>
              <w:spacing w:after="20" w:before="20"/>
            </w:pPr>
            <w:r/>
            <w:r>
              <w:rPr>
                <w:rFonts w:ascii="Times New Roman" w:hAnsi="Times New Roman" w:eastAsia="宋体"/>
                <w:b/>
                <w:sz w:val="21"/>
              </w:rPr>
              <w:t>本硕博名额</w:t>
            </w:r>
          </w:p>
        </w:tc>
        <w:tc>
          <w:tcPr>
            <w:tcW w:type="dxa" w:w="1439"/>
          </w:tcPr>
          <w:p>
            <w:pPr>
              <w:spacing w:after="20" w:before="20"/>
            </w:pPr>
            <w:r/>
            <w:r>
              <w:rPr>
                <w:rFonts w:ascii="Times New Roman" w:hAnsi="Times New Roman" w:eastAsia="宋体"/>
                <w:b/>
                <w:sz w:val="21"/>
              </w:rPr>
              <w:t>健行生名额</w:t>
            </w:r>
          </w:p>
        </w:tc>
        <w:tc>
          <w:tcPr>
            <w:tcW w:type="dxa" w:w="1439"/>
          </w:tcPr>
          <w:p>
            <w:pPr>
              <w:spacing w:after="20" w:before="20"/>
            </w:pPr>
            <w:r/>
            <w:r>
              <w:rPr>
                <w:rFonts w:ascii="Times New Roman" w:hAnsi="Times New Roman" w:eastAsia="宋体"/>
                <w:b/>
                <w:sz w:val="21"/>
              </w:rPr>
              <w:t>健行生预备名额</w:t>
            </w:r>
          </w:p>
        </w:tc>
      </w:tr>
      <w:tr>
        <w:tc>
          <w:tcPr>
            <w:tcW w:type="dxa" w:w="1439"/>
          </w:tcPr>
          <w:p>
            <w:pPr>
              <w:spacing w:after="20" w:before="20"/>
            </w:pPr>
            <w:r/>
            <w:r>
              <w:rPr>
                <w:rFonts w:ascii="Times New Roman" w:hAnsi="Times New Roman" w:eastAsia="宋体"/>
                <w:b w:val="0"/>
                <w:sz w:val="21"/>
              </w:rPr>
              <w:t>工商管理</w:t>
            </w:r>
          </w:p>
        </w:tc>
        <w:tc>
          <w:tcPr>
            <w:tcW w:type="dxa" w:w="1439"/>
          </w:tcPr>
          <w:p>
            <w:pPr>
              <w:spacing w:after="20" w:before="20"/>
            </w:pPr>
            <w:r/>
            <w:r>
              <w:rPr>
                <w:rFonts w:ascii="Times New Roman" w:hAnsi="Times New Roman" w:eastAsia="宋体"/>
                <w:b w:val="0"/>
                <w:sz w:val="21"/>
              </w:rPr>
              <w:t>9人</w:t>
            </w:r>
          </w:p>
        </w:tc>
        <w:tc>
          <w:tcPr>
            <w:tcW w:type="dxa" w:w="1439"/>
          </w:tcPr>
          <w:p>
            <w:pPr>
              <w:spacing w:after="20" w:before="20"/>
            </w:pPr>
            <w:r/>
            <w:r>
              <w:rPr>
                <w:rFonts w:ascii="Times New Roman" w:hAnsi="Times New Roman" w:eastAsia="宋体"/>
                <w:b w:val="0"/>
                <w:sz w:val="21"/>
              </w:rPr>
              <w:t>5人</w:t>
            </w:r>
          </w:p>
        </w:tc>
        <w:tc>
          <w:tcPr>
            <w:tcW w:type="dxa" w:w="1439"/>
          </w:tcPr>
          <w:p>
            <w:pPr>
              <w:spacing w:after="20" w:before="20"/>
            </w:pPr>
            <w:r/>
            <w:r>
              <w:rPr>
                <w:rFonts w:ascii="Times New Roman" w:hAnsi="Times New Roman" w:eastAsia="宋体"/>
                <w:b w:val="0"/>
                <w:sz w:val="21"/>
              </w:rPr>
              <w:t>3人（四个专业打通推荐）</w:t>
            </w:r>
          </w:p>
        </w:tc>
        <w:tc>
          <w:tcPr>
            <w:tcW w:type="dxa" w:w="1439"/>
          </w:tcPr>
          <w:p>
            <w:pPr>
              <w:spacing w:after="20" w:before="20"/>
            </w:pPr>
            <w:r/>
            <w:r>
              <w:rPr>
                <w:rFonts w:ascii="Times New Roman" w:hAnsi="Times New Roman" w:eastAsia="宋体"/>
                <w:b w:val="0"/>
                <w:sz w:val="21"/>
              </w:rPr>
              <w:t>0人</w:t>
            </w:r>
          </w:p>
        </w:tc>
        <w:tc>
          <w:tcPr>
            <w:tcW w:type="dxa" w:w="1439"/>
          </w:tcPr>
          <w:p>
            <w:pPr>
              <w:spacing w:after="20" w:before="20"/>
            </w:pPr>
            <w:r/>
            <w:r>
              <w:rPr>
                <w:rFonts w:ascii="Times New Roman" w:hAnsi="Times New Roman" w:eastAsia="宋体"/>
                <w:b w:val="0"/>
                <w:sz w:val="21"/>
              </w:rPr>
              <w:t>0人</w:t>
            </w:r>
          </w:p>
        </w:tc>
      </w:tr>
      <w:tr>
        <w:tc>
          <w:tcPr>
            <w:tcW w:type="dxa" w:w="1439"/>
          </w:tcPr>
          <w:p>
            <w:pPr>
              <w:spacing w:after="20" w:before="20"/>
            </w:pPr>
            <w:r/>
            <w:r>
              <w:rPr>
                <w:rFonts w:ascii="Times New Roman" w:hAnsi="Times New Roman" w:eastAsia="宋体"/>
                <w:b w:val="0"/>
                <w:sz w:val="21"/>
              </w:rPr>
              <w:t>财务管理</w:t>
            </w:r>
          </w:p>
        </w:tc>
        <w:tc>
          <w:tcPr>
            <w:tcW w:type="dxa" w:w="1439"/>
          </w:tcPr>
          <w:p>
            <w:pPr>
              <w:spacing w:after="20" w:before="20"/>
            </w:pPr>
            <w:r/>
            <w:r>
              <w:rPr>
                <w:rFonts w:ascii="Times New Roman" w:hAnsi="Times New Roman" w:eastAsia="宋体"/>
                <w:b w:val="0"/>
                <w:sz w:val="21"/>
              </w:rPr>
              <w:t>7人</w:t>
            </w:r>
          </w:p>
        </w:tc>
        <w:tc>
          <w:tcPr>
            <w:tcW w:type="dxa" w:w="1439"/>
          </w:tcPr>
          <w:p>
            <w:pPr>
              <w:spacing w:after="20" w:before="20"/>
            </w:pPr>
            <w:r/>
            <w:r>
              <w:rPr>
                <w:rFonts w:ascii="Times New Roman" w:hAnsi="Times New Roman" w:eastAsia="宋体"/>
                <w:b w:val="0"/>
                <w:sz w:val="21"/>
              </w:rPr>
              <w:t>3人</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10人</w:t>
            </w:r>
          </w:p>
        </w:tc>
        <w:tc>
          <w:tcPr>
            <w:tcW w:type="dxa" w:w="1439"/>
          </w:tcPr>
          <w:p>
            <w:pPr>
              <w:spacing w:after="20" w:before="20"/>
            </w:pPr>
            <w:r/>
            <w:r>
              <w:rPr>
                <w:rFonts w:ascii="Times New Roman" w:hAnsi="Times New Roman" w:eastAsia="宋体"/>
                <w:b w:val="0"/>
                <w:sz w:val="21"/>
              </w:rPr>
              <w:t>5人</w:t>
            </w:r>
          </w:p>
        </w:tc>
      </w:tr>
      <w:tr>
        <w:tc>
          <w:tcPr>
            <w:tcW w:type="dxa" w:w="1439"/>
          </w:tcPr>
          <w:p>
            <w:pPr>
              <w:spacing w:after="20" w:before="20"/>
            </w:pPr>
            <w:r/>
            <w:r>
              <w:rPr>
                <w:rFonts w:ascii="Times New Roman" w:hAnsi="Times New Roman" w:eastAsia="宋体"/>
                <w:b w:val="0"/>
                <w:sz w:val="21"/>
              </w:rPr>
              <w:t>工程管理</w:t>
            </w:r>
          </w:p>
        </w:tc>
        <w:tc>
          <w:tcPr>
            <w:tcW w:type="dxa" w:w="1439"/>
          </w:tcPr>
          <w:p>
            <w:pPr>
              <w:spacing w:after="20" w:before="20"/>
            </w:pPr>
            <w:r/>
            <w:r>
              <w:rPr>
                <w:rFonts w:ascii="Times New Roman" w:hAnsi="Times New Roman" w:eastAsia="宋体"/>
                <w:b w:val="0"/>
                <w:sz w:val="21"/>
              </w:rPr>
              <w:t>3人</w:t>
            </w:r>
          </w:p>
        </w:tc>
        <w:tc>
          <w:tcPr>
            <w:tcW w:type="dxa" w:w="1439"/>
          </w:tcPr>
          <w:p>
            <w:pPr>
              <w:spacing w:after="20" w:before="20"/>
            </w:pPr>
            <w:r/>
            <w:r>
              <w:rPr>
                <w:rFonts w:ascii="Times New Roman" w:hAnsi="Times New Roman" w:eastAsia="宋体"/>
                <w:b w:val="0"/>
                <w:sz w:val="21"/>
              </w:rPr>
              <w:t>1人</w:t>
            </w:r>
          </w:p>
        </w:tc>
        <w:tc>
          <w:tcPr>
            <w:tcW w:type="dxa" w:w="1439"/>
          </w:tcPr>
          <w:p>
            <w:pPr>
              <w:spacing w:after="20" w:before="20"/>
            </w:pPr>
            <w:r/>
            <w:r>
              <w:rPr>
                <w:rFonts w:ascii="Times New Roman" w:hAnsi="Times New Roman" w:eastAsia="宋体"/>
                <w:b w:val="0"/>
                <w:sz w:val="21"/>
              </w:rPr>
              <w:t>1人</w:t>
            </w:r>
          </w:p>
        </w:tc>
        <w:tc>
          <w:tcPr>
            <w:tcW w:type="dxa" w:w="1439"/>
          </w:tcPr>
          <w:p>
            <w:pPr>
              <w:spacing w:after="20" w:before="20"/>
            </w:pPr>
            <w:r/>
            <w:r>
              <w:rPr>
                <w:rFonts w:ascii="Times New Roman" w:hAnsi="Times New Roman" w:eastAsia="宋体"/>
                <w:b w:val="0"/>
                <w:sz w:val="21"/>
              </w:rPr>
              <w:t>0人</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信息管理与信息系统</w:t>
            </w:r>
          </w:p>
        </w:tc>
        <w:tc>
          <w:tcPr>
            <w:tcW w:type="dxa" w:w="1439"/>
          </w:tcPr>
          <w:p>
            <w:pPr>
              <w:spacing w:after="20" w:before="20"/>
            </w:pPr>
            <w:r/>
            <w:r>
              <w:rPr>
                <w:rFonts w:ascii="Times New Roman" w:hAnsi="Times New Roman" w:eastAsia="宋体"/>
                <w:b w:val="0"/>
                <w:sz w:val="21"/>
              </w:rPr>
              <w:t>4人</w:t>
            </w:r>
          </w:p>
        </w:tc>
        <w:tc>
          <w:tcPr>
            <w:tcW w:type="dxa" w:w="1439"/>
          </w:tcPr>
          <w:p>
            <w:pPr>
              <w:spacing w:after="20" w:before="20"/>
            </w:pPr>
            <w:r/>
            <w:r>
              <w:rPr>
                <w:rFonts w:ascii="Times New Roman" w:hAnsi="Times New Roman" w:eastAsia="宋体"/>
                <w:b w:val="0"/>
                <w:sz w:val="21"/>
              </w:rPr>
              <w:t>2人</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4人（含本硕博1人）</w:t>
            </w:r>
          </w:p>
        </w:tc>
        <w:tc>
          <w:tcPr>
            <w:tcW w:type="dxa" w:w="1439"/>
          </w:tcPr>
          <w:p>
            <w:pPr>
              <w:spacing w:after="20" w:before="20"/>
            </w:pPr>
            <w:r/>
            <w:r>
              <w:rPr>
                <w:rFonts w:ascii="Times New Roman" w:hAnsi="Times New Roman" w:eastAsia="宋体"/>
                <w:b w:val="0"/>
                <w:sz w:val="21"/>
              </w:rPr>
              <w:t>1人</w:t>
            </w:r>
          </w:p>
        </w:tc>
      </w:tr>
    </w:tbl>
    <w:p>
      <w:pPr>
        <w:spacing w:after="80" w:lineRule="auto" w:line="360"/>
        <w:ind w:firstLine="482"/>
        <w:jc w:val="both"/>
      </w:pPr>
      <w:r>
        <w:rPr>
          <w:rFonts w:ascii="Times New Roman" w:hAnsi="Times New Roman" w:eastAsia="宋体"/>
          <w:b w:val="0"/>
          <w:sz w:val="24"/>
        </w:rPr>
        <w:t>4. 总计：非健行生正式名额23人，预备名额11人；健行生名额15人，健行生预备名额6人。</w:t>
      </w:r>
    </w:p>
    <w:p>
      <w:pPr>
        <w:spacing w:after="80" w:lineRule="auto" w:line="360"/>
        <w:ind w:firstLine="482"/>
        <w:jc w:val="both"/>
      </w:pPr>
      <w:r>
        <w:rPr>
          <w:rFonts w:ascii="Times New Roman" w:hAnsi="Times New Roman" w:eastAsia="宋体"/>
          <w:b w:val="0"/>
          <w:sz w:val="24"/>
        </w:rPr>
        <w:t>5. 递补原则：后续如学院收到学校普通增补名额，根据各专业人数比例，非健行生增补名额依次划拨至工商管理、财务管理、信息系统与信息管理、工程管理专业；健行生根据健行学院通知执行。</w:t>
      </w:r>
    </w:p>
    <w:p>
      <w:pPr>
        <w:spacing w:after="80" w:lineRule="auto" w:line="360"/>
        <w:ind w:firstLine="482"/>
        <w:jc w:val="both"/>
      </w:pPr>
      <w:r>
        <w:rPr>
          <w:rFonts w:ascii="Times New Roman" w:hAnsi="Times New Roman" w:eastAsia="宋体"/>
          <w:b w:val="0"/>
          <w:sz w:val="24"/>
        </w:rPr>
        <w:t>6. 学院可向学校推荐不超过4名“研究生支教团”选拔对象，选拔对象需符合我校推荐免试攻读研究生基本条件。</w:t>
      </w:r>
    </w:p>
    <w:p>
      <w:pPr>
        <w:spacing w:before="160" w:after="80" w:lineRule="auto" w:line="360"/>
        <w:jc w:val="left"/>
      </w:pPr>
      <w:r>
        <w:rPr>
          <w:rFonts w:ascii="Times New Roman" w:hAnsi="Times New Roman" w:eastAsia="宋体"/>
          <w:b/>
          <w:sz w:val="28"/>
        </w:rPr>
        <w:t>三、推荐办法</w:t>
      </w:r>
    </w:p>
    <w:p>
      <w:pPr>
        <w:spacing w:after="80" w:lineRule="auto" w:line="360"/>
        <w:ind w:firstLine="482"/>
        <w:jc w:val="both"/>
      </w:pPr>
      <w:r>
        <w:rPr>
          <w:rFonts w:ascii="Times New Roman" w:hAnsi="Times New Roman" w:eastAsia="宋体"/>
          <w:b w:val="0"/>
          <w:sz w:val="24"/>
        </w:rPr>
        <w:t>1. 根据学校《关于做好推荐2026年优秀应届本科毕业生免试攻读研究生工作的通知》要求进行组织。</w:t>
      </w:r>
    </w:p>
    <w:p>
      <w:pPr>
        <w:spacing w:after="80" w:lineRule="auto" w:line="360"/>
        <w:ind w:firstLine="482"/>
        <w:jc w:val="both"/>
      </w:pPr>
      <w:r>
        <w:rPr>
          <w:rFonts w:ascii="Times New Roman" w:hAnsi="Times New Roman" w:eastAsia="宋体"/>
          <w:b w:val="0"/>
          <w:sz w:val="24"/>
        </w:rPr>
        <w:t>2. 推荐办法和相关细则详见《浙江工业大学关于推荐优秀应届本科毕业生免试攻读研究生工作实施办法》及《管理学院关于推荐优秀应届本科毕业生免试攻读研究生工作实施细则（试行）》。</w:t>
      </w:r>
    </w:p>
    <w:p>
      <w:pPr>
        <w:spacing w:before="160" w:after="80" w:lineRule="auto" w:line="360"/>
        <w:jc w:val="left"/>
      </w:pPr>
      <w:r>
        <w:rPr>
          <w:rFonts w:ascii="Times New Roman" w:hAnsi="Times New Roman" w:eastAsia="宋体"/>
          <w:b/>
          <w:sz w:val="28"/>
        </w:rPr>
        <w:t>四、工作进程安排</w:t>
      </w:r>
    </w:p>
    <w:p>
      <w:pPr>
        <w:spacing w:after="80" w:lineRule="auto" w:line="360"/>
        <w:ind w:firstLine="482"/>
        <w:jc w:val="both"/>
      </w:pPr>
      <w:r>
        <w:rPr>
          <w:rFonts w:ascii="Times New Roman" w:hAnsi="Times New Roman" w:eastAsia="宋体"/>
          <w:b w:val="0"/>
          <w:sz w:val="24"/>
        </w:rPr>
        <w:t>1. 9月3日8:00至9月4日17:00，学生本人可登录钉钉推免资格申请系统在线提交申请，并签署不放弃推免资格承诺。</w:t>
      </w:r>
    </w:p>
    <w:p>
      <w:pPr>
        <w:spacing w:after="80" w:lineRule="auto" w:line="360"/>
        <w:ind w:firstLine="482"/>
        <w:jc w:val="both"/>
      </w:pPr>
      <w:r>
        <w:rPr>
          <w:rFonts w:ascii="Times New Roman" w:hAnsi="Times New Roman" w:eastAsia="宋体"/>
          <w:b w:val="0"/>
          <w:sz w:val="24"/>
        </w:rPr>
        <w:t>联系方式：管理学院学生工作办公室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