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建筑与艺术学院2026年推荐优秀应届本科毕业生免试攻读研究生遴选推荐实施办法-建筑与艺术学院</w:t>
      </w:r>
    </w:p>
    <w:p>
      <w:pPr>
        <w:spacing w:line="360" w:lineRule="auto" w:before="120" w:after="60"/>
        <w:ind w:firstLine="0"/>
        <w:jc w:val="left"/>
      </w:pPr>
      <w:r>
        <w:rPr>
          <w:rFonts w:ascii="Times New Roman" w:hAnsi="Times New Roman" w:eastAsia="宋体"/>
          <w:b/>
          <w:sz w:val="24"/>
        </w:rPr>
        <w:t>北方工业大学建筑与艺术学院</w:t>
      </w:r>
    </w:p>
    <w:p>
      <w:pPr>
        <w:spacing w:line="360" w:lineRule="auto" w:before="120" w:after="60"/>
        <w:ind w:firstLine="0"/>
        <w:jc w:val="left"/>
      </w:pPr>
      <w:r>
        <w:rPr>
          <w:rFonts w:ascii="Times New Roman" w:hAnsi="Times New Roman" w:eastAsia="宋体"/>
          <w:b/>
          <w:sz w:val="24"/>
        </w:rPr>
        <w:t>2026年推荐优秀应届本科毕业生免试攻读研究生</w:t>
      </w:r>
    </w:p>
    <w:p>
      <w:pPr>
        <w:spacing w:line="360" w:lineRule="auto" w:before="120" w:after="60"/>
        <w:ind w:firstLine="0"/>
        <w:jc w:val="left"/>
      </w:pPr>
      <w:r>
        <w:rPr>
          <w:rFonts w:ascii="Times New Roman" w:hAnsi="Times New Roman" w:eastAsia="宋体"/>
          <w:b/>
          <w:sz w:val="24"/>
        </w:rPr>
        <w:t>遴选推荐实施办法</w:t>
      </w:r>
    </w:p>
    <w:p>
      <w:pPr>
        <w:spacing w:line="360" w:lineRule="auto" w:before="0" w:after="80"/>
        <w:ind w:firstLine="482"/>
        <w:jc w:val="both"/>
      </w:pPr>
      <w:r>
        <w:rPr>
          <w:rFonts w:ascii="Times New Roman" w:hAnsi="Times New Roman" w:eastAsia="宋体"/>
          <w:b w:val="0"/>
          <w:sz w:val="24"/>
        </w:rPr>
        <w:t>为确保推荐优秀应届本科毕业生免试攻读研究生（以下简称推免）工作顺利进行，激励本科学生勤奋学习、积极创新和全面发展，根据《北方工业大学推荐优秀应届本科毕业生免试攻读研究生遴选推荐办法》（校发〔2024〕37号）文件精神，结合本学院实际，特制定本实施办法。</w:t>
      </w:r>
    </w:p>
    <w:p>
      <w:pPr>
        <w:spacing w:line="360" w:lineRule="auto" w:before="160" w:after="80"/>
        <w:ind w:firstLine="0"/>
        <w:jc w:val="left"/>
      </w:pPr>
      <w:r>
        <w:rPr>
          <w:rFonts w:ascii="Times New Roman" w:hAnsi="Times New Roman" w:eastAsia="宋体"/>
          <w:b/>
          <w:sz w:val="28"/>
        </w:rPr>
        <w:t>一、推免工作小组</w:t>
      </w:r>
    </w:p>
    <w:p>
      <w:pPr>
        <w:spacing w:line="360" w:lineRule="auto" w:before="0" w:after="80"/>
        <w:ind w:firstLine="482"/>
        <w:jc w:val="both"/>
      </w:pPr>
      <w:r>
        <w:rPr>
          <w:rFonts w:ascii="Times New Roman" w:hAnsi="Times New Roman" w:eastAsia="宋体"/>
          <w:b w:val="0"/>
          <w:sz w:val="24"/>
        </w:rPr>
        <w:t>学院成立推免工作小组，负责组织开展本院推免生遴选推荐工作。工作小组成员如下：</w:t>
      </w:r>
    </w:p>
    <w:p>
      <w:pPr>
        <w:spacing w:line="360" w:lineRule="auto" w:before="120" w:after="60"/>
        <w:ind w:firstLine="0"/>
        <w:jc w:val="left"/>
      </w:pPr>
      <w:r>
        <w:rPr>
          <w:rFonts w:ascii="Times New Roman" w:hAnsi="Times New Roman" w:eastAsia="宋体"/>
          <w:b/>
          <w:sz w:val="24"/>
        </w:rPr>
        <w:t>组 长：王新征 张 勃</w:t>
      </w:r>
    </w:p>
    <w:p>
      <w:pPr>
        <w:spacing w:line="360" w:lineRule="auto" w:before="120" w:after="60"/>
        <w:ind w:firstLine="0"/>
        <w:jc w:val="left"/>
      </w:pPr>
      <w:r>
        <w:rPr>
          <w:rFonts w:ascii="Times New Roman" w:hAnsi="Times New Roman" w:eastAsia="宋体"/>
          <w:b/>
          <w:sz w:val="24"/>
        </w:rPr>
        <w:t>副组长：任永刚 张 丁</w:t>
      </w:r>
    </w:p>
    <w:p>
      <w:pPr>
        <w:spacing w:line="360" w:lineRule="auto" w:before="120" w:after="60"/>
        <w:ind w:firstLine="0"/>
        <w:jc w:val="left"/>
      </w:pPr>
      <w:r>
        <w:rPr>
          <w:rFonts w:ascii="Times New Roman" w:hAnsi="Times New Roman" w:eastAsia="宋体"/>
          <w:b/>
          <w:sz w:val="24"/>
        </w:rPr>
        <w:t>成 员：马 欣 梁玮男 刘兵兵 潘明率 张 哲</w:t>
      </w:r>
    </w:p>
    <w:p>
      <w:pPr>
        <w:spacing w:line="360" w:lineRule="auto" w:before="120" w:after="60"/>
        <w:ind w:firstLine="0"/>
        <w:jc w:val="left"/>
      </w:pPr>
      <w:r>
        <w:rPr>
          <w:rFonts w:ascii="Times New Roman" w:hAnsi="Times New Roman" w:eastAsia="宋体"/>
          <w:b/>
          <w:sz w:val="24"/>
        </w:rPr>
        <w:t>安 平 杨 鑫 王 湘 温 芳 李 婧</w:t>
      </w:r>
    </w:p>
    <w:p>
      <w:pPr>
        <w:spacing w:line="360" w:lineRule="auto" w:before="120" w:after="60"/>
        <w:ind w:firstLine="0"/>
        <w:jc w:val="left"/>
      </w:pPr>
      <w:r>
        <w:rPr>
          <w:rFonts w:ascii="Times New Roman" w:hAnsi="Times New Roman" w:eastAsia="宋体"/>
          <w:b/>
          <w:sz w:val="24"/>
        </w:rPr>
        <w:t>黄骁然 张 晋 朱兆阳</w:t>
      </w:r>
    </w:p>
    <w:p>
      <w:pPr>
        <w:spacing w:line="360" w:lineRule="auto" w:before="120" w:after="60"/>
        <w:ind w:firstLine="0"/>
        <w:jc w:val="left"/>
      </w:pPr>
      <w:r>
        <w:rPr>
          <w:rFonts w:ascii="Times New Roman" w:hAnsi="Times New Roman" w:eastAsia="宋体"/>
          <w:b/>
          <w:sz w:val="24"/>
        </w:rPr>
        <w:t>秘 书：宋鑫鑫 郭 嘉 王 玲</w:t>
      </w:r>
    </w:p>
    <w:p>
      <w:pPr>
        <w:spacing w:line="360" w:lineRule="auto" w:before="160" w:after="80"/>
        <w:ind w:firstLine="0"/>
        <w:jc w:val="left"/>
      </w:pPr>
      <w:r>
        <w:rPr>
          <w:rFonts w:ascii="Times New Roman" w:hAnsi="Times New Roman" w:eastAsia="宋体"/>
          <w:b/>
          <w:sz w:val="28"/>
        </w:rPr>
        <w:t>二、推荐条件</w:t>
      </w:r>
    </w:p>
    <w:p>
      <w:pPr>
        <w:spacing w:line="360" w:lineRule="auto" w:before="160" w:after="80"/>
        <w:ind w:firstLine="0"/>
        <w:jc w:val="left"/>
      </w:pPr>
      <w:r>
        <w:rPr>
          <w:rFonts w:ascii="Times New Roman" w:hAnsi="Times New Roman" w:eastAsia="宋体"/>
          <w:b/>
          <w:sz w:val="28"/>
        </w:rPr>
        <w:t>1.符合《北方工业大学推荐优秀应届本科毕业生免试攻读研究生遴选推荐办法》（校发〔2024〕37号）第四章第十三条相关规定。</w:t>
      </w:r>
    </w:p>
    <w:p>
      <w:pPr>
        <w:spacing w:line="360" w:lineRule="auto" w:before="0" w:after="80"/>
        <w:ind w:firstLine="482"/>
        <w:jc w:val="both"/>
      </w:pPr>
      <w:r>
        <w:rPr>
          <w:rFonts w:ascii="Times New Roman" w:hAnsi="Times New Roman" w:eastAsia="宋体"/>
          <w:b w:val="0"/>
          <w:sz w:val="24"/>
        </w:rPr>
        <w:t>2.前3学年（五年制专业前4学年）平均学分绩点专业排序（由高到低）小于等于 25%（外培专业小于等于40%），学术研究兴趣浓厚，有较强的创新意识、创新能力和专业能力。各专业（方向）各科目成绩取得截止时间为2025年8月31日，学分绩点排序、人数基数均以学院公示为准。详细如下：</w:t>
      </w:r>
    </w:p>
    <w:p>
      <w:pPr>
        <w:spacing w:line="360" w:lineRule="auto" w:before="160" w:after="80"/>
        <w:ind w:firstLine="0"/>
        <w:jc w:val="left"/>
      </w:pPr>
      <w:r>
        <w:rPr>
          <w:rFonts w:ascii="Times New Roman" w:hAnsi="Times New Roman" w:eastAsia="宋体"/>
          <w:b/>
          <w:sz w:val="28"/>
        </w:rPr>
        <w:t>（1）普通本科生为本专业年级应学必修课绩点分（不含2025年小学期课程，以下简称学习成绩）；</w:t>
      </w:r>
    </w:p>
    <w:p>
      <w:pPr>
        <w:spacing w:line="360" w:lineRule="auto" w:before="0" w:after="80"/>
        <w:ind w:firstLine="482"/>
        <w:jc w:val="both"/>
      </w:pPr>
      <w:r>
        <w:rPr>
          <w:rFonts w:ascii="Times New Roman" w:hAnsi="Times New Roman" w:eastAsia="宋体"/>
          <w:b w:val="0"/>
          <w:sz w:val="24"/>
        </w:rPr>
        <w:t>（2）外培生人数达到至少可以产生1名推免名额的基数时予以单列，学习成绩为本专业年级应学必修课绩点分（包含全部国外课程，不含2025年小学期课程，以下简称学习成绩，且不应低于85分）；</w:t>
      </w:r>
    </w:p>
    <w:p>
      <w:pPr>
        <w:spacing w:line="360" w:lineRule="auto" w:before="160" w:after="80"/>
        <w:ind w:firstLine="0"/>
        <w:jc w:val="left"/>
      </w:pPr>
      <w:r>
        <w:rPr>
          <w:rFonts w:ascii="Times New Roman" w:hAnsi="Times New Roman" w:eastAsia="宋体"/>
          <w:b/>
          <w:sz w:val="28"/>
        </w:rPr>
        <w:t>（3）各专业交换生人数达到至少可以产生1名推免名额的基数时予以单列，学习成绩计算方式同（2）；不符合单列条件时按（1）普通本科生执行。</w:t>
      </w:r>
    </w:p>
    <w:p>
      <w:pPr>
        <w:spacing w:line="360" w:lineRule="auto" w:before="160" w:after="80"/>
        <w:ind w:firstLine="0"/>
        <w:jc w:val="left"/>
      </w:pPr>
      <w:r>
        <w:rPr>
          <w:rFonts w:ascii="Times New Roman" w:hAnsi="Times New Roman" w:eastAsia="宋体"/>
          <w:b/>
          <w:sz w:val="28"/>
        </w:rPr>
        <w:t>三、推荐名额</w:t>
      </w:r>
    </w:p>
    <w:tbl>
      <w:tblPr>
        <w:tblStyle w:val="TableGrid"/>
        <w:tblW w:type="auto" w:w="0"/>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b/>
                <w:sz w:val="21"/>
              </w:rPr>
              <w:t>序号</w:t>
            </w:r>
          </w:p>
        </w:tc>
        <w:tc>
          <w:tcPr>
            <w:tcW w:type="dxa" w:w="2878"/>
          </w:tcPr>
          <w:p>
            <w:pPr>
              <w:jc w:val="center"/>
            </w:pPr>
            <w:r>
              <w:rPr>
                <w:rFonts w:ascii="Times New Roman" w:hAnsi="Times New Roman" w:eastAsia="宋体"/>
                <w:b/>
                <w:sz w:val="21"/>
              </w:rPr>
              <w:t>专业</w:t>
            </w:r>
          </w:p>
        </w:tc>
        <w:tc>
          <w:tcPr>
            <w:tcW w:type="dxa" w:w="2878"/>
          </w:tcPr>
          <w:p>
            <w:pPr>
              <w:jc w:val="center"/>
            </w:pPr>
            <w:r>
              <w:rPr>
                <w:rFonts w:ascii="Times New Roman" w:hAnsi="Times New Roman" w:eastAsia="宋体"/>
                <w:b/>
                <w:sz w:val="21"/>
              </w:rPr>
              <w:t>推荐名额</w:t>
            </w:r>
          </w:p>
        </w:tc>
      </w:tr>
      <w:tr>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建筑学</w:t>
            </w:r>
          </w:p>
        </w:tc>
        <w:tc>
          <w:tcPr>
            <w:tcW w:type="dxa" w:w="2878"/>
          </w:tcPr>
          <w:p>
            <w:pPr>
              <w:jc w:val="center"/>
            </w:pPr>
            <w:r>
              <w:rPr>
                <w:rFonts w:ascii="Times New Roman" w:hAnsi="Times New Roman" w:eastAsia="宋体"/>
                <w:sz w:val="21"/>
              </w:rPr>
              <w:t>6</w:t>
            </w:r>
          </w:p>
        </w:tc>
      </w:tr>
      <w:tr>
        <w:tc>
          <w:tcPr>
            <w:tcW w:type="dxa" w:w="2878"/>
          </w:tcPr>
          <w:p>
            <w:pPr>
              <w:jc w:val="center"/>
            </w:pPr>
            <w:r>
              <w:rPr>
                <w:rFonts w:ascii="Times New Roman" w:hAnsi="Times New Roman" w:eastAsia="宋体"/>
                <w:sz w:val="21"/>
              </w:rPr>
              <w:t>2</w:t>
            </w:r>
          </w:p>
        </w:tc>
        <w:tc>
          <w:tcPr>
            <w:tcW w:type="dxa" w:w="2878"/>
          </w:tcPr>
          <w:p>
            <w:pPr>
              <w:jc w:val="center"/>
            </w:pPr>
            <w:r>
              <w:rPr>
                <w:rFonts w:ascii="Times New Roman" w:hAnsi="Times New Roman" w:eastAsia="宋体"/>
                <w:sz w:val="21"/>
              </w:rPr>
              <w:t>建筑学外培</w:t>
            </w:r>
          </w:p>
        </w:tc>
        <w:tc>
          <w:tcPr>
            <w:tcW w:type="dxa" w:w="2878"/>
          </w:tcPr>
          <w:p>
            <w:pPr>
              <w:jc w:val="center"/>
            </w:pPr>
            <w:r>
              <w:rPr>
                <w:rFonts w:ascii="Times New Roman" w:hAnsi="Times New Roman" w:eastAsia="宋体"/>
                <w:sz w:val="21"/>
              </w:rPr>
              <w:t>1</w:t>
            </w:r>
          </w:p>
        </w:tc>
      </w:tr>
      <w:tr>
        <w:tc>
          <w:tcPr>
            <w:tcW w:type="dxa" w:w="2878"/>
          </w:tcPr>
          <w:p>
            <w:pPr>
              <w:jc w:val="center"/>
            </w:pPr>
            <w:r>
              <w:rPr>
                <w:rFonts w:ascii="Times New Roman" w:hAnsi="Times New Roman" w:eastAsia="宋体"/>
                <w:sz w:val="21"/>
              </w:rPr>
              <w:t>3</w:t>
            </w:r>
          </w:p>
        </w:tc>
        <w:tc>
          <w:tcPr>
            <w:tcW w:type="dxa" w:w="2878"/>
          </w:tcPr>
          <w:p>
            <w:pPr>
              <w:jc w:val="center"/>
            </w:pPr>
            <w:r>
              <w:rPr>
                <w:rFonts w:ascii="Times New Roman" w:hAnsi="Times New Roman" w:eastAsia="宋体"/>
                <w:sz w:val="21"/>
              </w:rPr>
              <w:t>建筑学交换生</w:t>
            </w:r>
          </w:p>
        </w:tc>
        <w:tc>
          <w:tcPr>
            <w:tcW w:type="dxa" w:w="2878"/>
          </w:tcPr>
          <w:p>
            <w:pPr>
              <w:jc w:val="center"/>
            </w:pPr>
            <w:r>
              <w:rPr>
                <w:rFonts w:ascii="Times New Roman" w:hAnsi="Times New Roman" w:eastAsia="宋体"/>
                <w:sz w:val="21"/>
              </w:rPr>
              <w:t>1</w:t>
            </w:r>
          </w:p>
        </w:tc>
      </w:tr>
      <w:tr>
        <w:tc>
          <w:tcPr>
            <w:tcW w:type="dxa" w:w="2878"/>
          </w:tcPr>
          <w:p>
            <w:pPr>
              <w:jc w:val="center"/>
            </w:pPr>
            <w:r>
              <w:rPr>
                <w:rFonts w:ascii="Times New Roman" w:hAnsi="Times New Roman" w:eastAsia="宋体"/>
                <w:sz w:val="21"/>
              </w:rPr>
              <w:t>4</w:t>
            </w:r>
          </w:p>
        </w:tc>
        <w:tc>
          <w:tcPr>
            <w:tcW w:type="dxa" w:w="2878"/>
          </w:tcPr>
          <w:p>
            <w:pPr>
              <w:jc w:val="center"/>
            </w:pPr>
            <w:r>
              <w:rPr>
                <w:rFonts w:ascii="Times New Roman" w:hAnsi="Times New Roman" w:eastAsia="宋体"/>
                <w:sz w:val="21"/>
              </w:rPr>
              <w:t>城乡规划</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5</w:t>
            </w:r>
          </w:p>
        </w:tc>
        <w:tc>
          <w:tcPr>
            <w:tcW w:type="dxa" w:w="2878"/>
          </w:tcPr>
          <w:p>
            <w:pPr>
              <w:jc w:val="center"/>
            </w:pPr>
            <w:r>
              <w:rPr>
                <w:rFonts w:ascii="Times New Roman" w:hAnsi="Times New Roman" w:eastAsia="宋体"/>
                <w:sz w:val="21"/>
              </w:rPr>
              <w:t>风景园林</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6</w:t>
            </w:r>
          </w:p>
        </w:tc>
        <w:tc>
          <w:tcPr>
            <w:tcW w:type="dxa" w:w="2878"/>
          </w:tcPr>
          <w:p>
            <w:pPr>
              <w:jc w:val="center"/>
            </w:pPr>
            <w:r>
              <w:rPr>
                <w:rFonts w:ascii="Times New Roman" w:hAnsi="Times New Roman" w:eastAsia="宋体"/>
                <w:sz w:val="21"/>
              </w:rPr>
              <w:t>环境设计</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7</w:t>
            </w:r>
          </w:p>
        </w:tc>
        <w:tc>
          <w:tcPr>
            <w:tcW w:type="dxa" w:w="2878"/>
          </w:tcPr>
          <w:p>
            <w:pPr>
              <w:jc w:val="center"/>
            </w:pPr>
            <w:r>
              <w:rPr>
                <w:rFonts w:ascii="Times New Roman" w:hAnsi="Times New Roman" w:eastAsia="宋体"/>
                <w:sz w:val="21"/>
              </w:rPr>
              <w:t>环境设计（空间设计）</w:t>
            </w:r>
          </w:p>
        </w:tc>
        <w:tc>
          <w:tcPr>
            <w:tcW w:type="dxa" w:w="2878"/>
          </w:tcPr>
          <w:p>
            <w:pPr>
              <w:jc w:val="center"/>
            </w:pPr>
            <w:r>
              <w:rPr>
                <w:rFonts w:ascii="Times New Roman" w:hAnsi="Times New Roman" w:eastAsia="宋体"/>
                <w:sz w:val="21"/>
              </w:rPr>
              <w:t>1</w:t>
            </w:r>
          </w:p>
        </w:tc>
      </w:tr>
      <w:tr>
        <w:tc>
          <w:tcPr>
            <w:tcW w:type="dxa" w:w="2878"/>
          </w:tcPr>
          <w:p>
            <w:pPr>
              <w:jc w:val="center"/>
            </w:pPr>
            <w:r>
              <w:rPr>
                <w:rFonts w:ascii="Times New Roman" w:hAnsi="Times New Roman" w:eastAsia="宋体"/>
                <w:sz w:val="21"/>
              </w:rPr>
              <w:t>8</w:t>
            </w:r>
          </w:p>
        </w:tc>
        <w:tc>
          <w:tcPr>
            <w:tcW w:type="dxa" w:w="2878"/>
          </w:tcPr>
          <w:p>
            <w:pPr>
              <w:jc w:val="center"/>
            </w:pPr>
            <w:r>
              <w:rPr>
                <w:rFonts w:ascii="Times New Roman" w:hAnsi="Times New Roman" w:eastAsia="宋体"/>
                <w:sz w:val="21"/>
              </w:rPr>
              <w:t>视觉传达设计</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合计</w:t>
            </w:r>
          </w:p>
        </w:tc>
        <w:tc>
          <w:tcPr>
            <w:tcW w:type="dxa" w:w="2878"/>
          </w:tcPr>
          <w:p>
            <w:pPr>
              <w:jc w:val="center"/>
            </w:pPr>
            <w:r>
              <w:rPr>
                <w:rFonts w:ascii="Times New Roman" w:hAnsi="Times New Roman" w:eastAsia="宋体"/>
                <w:sz w:val="21"/>
              </w:rPr>
              <w:t>21</w:t>
            </w:r>
          </w:p>
        </w:tc>
        <w:tc>
          <w:tcPr>
            <w:tcW w:type="dxa" w:w="287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